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50"/>
        <w:gridCol w:w="151"/>
        <w:gridCol w:w="2332"/>
        <w:gridCol w:w="5484"/>
        <w:gridCol w:w="799"/>
      </w:tblGrid>
      <w:tr w:rsidR="00045F43" w:rsidRPr="00460CB9" w14:paraId="55FABCAC" w14:textId="347980F4" w:rsidTr="00045F43">
        <w:trPr>
          <w:trHeight w:val="557"/>
        </w:trPr>
        <w:tc>
          <w:tcPr>
            <w:tcW w:w="8217" w:type="dxa"/>
            <w:gridSpan w:val="4"/>
            <w:shd w:val="clear" w:color="auto" w:fill="auto"/>
            <w:vAlign w:val="center"/>
          </w:tcPr>
          <w:p w14:paraId="5307314A" w14:textId="77777777" w:rsidR="00045F43" w:rsidRPr="0053198F" w:rsidRDefault="00045F43" w:rsidP="001535B4">
            <w:pPr>
              <w:jc w:val="center"/>
              <w:rPr>
                <w:sz w:val="28"/>
                <w:szCs w:val="28"/>
              </w:rPr>
            </w:pPr>
            <w:r>
              <w:rPr>
                <w:b/>
                <w:sz w:val="28"/>
                <w:szCs w:val="28"/>
              </w:rPr>
              <w:t>Rationale of Checklist</w:t>
            </w:r>
          </w:p>
        </w:tc>
        <w:tc>
          <w:tcPr>
            <w:tcW w:w="799" w:type="dxa"/>
          </w:tcPr>
          <w:p w14:paraId="3454E097" w14:textId="77777777" w:rsidR="00045F43" w:rsidRDefault="00045F43" w:rsidP="001535B4">
            <w:pPr>
              <w:jc w:val="center"/>
              <w:rPr>
                <w:b/>
                <w:sz w:val="28"/>
                <w:szCs w:val="28"/>
              </w:rPr>
            </w:pPr>
          </w:p>
        </w:tc>
      </w:tr>
      <w:tr w:rsidR="00045F43" w:rsidRPr="00460CB9" w14:paraId="17F24DA9" w14:textId="070D8D3E" w:rsidTr="00045F43">
        <w:trPr>
          <w:trHeight w:val="3050"/>
        </w:trPr>
        <w:tc>
          <w:tcPr>
            <w:tcW w:w="8217" w:type="dxa"/>
            <w:gridSpan w:val="4"/>
            <w:shd w:val="clear" w:color="auto" w:fill="auto"/>
            <w:vAlign w:val="center"/>
          </w:tcPr>
          <w:p w14:paraId="5906461D" w14:textId="558565BF" w:rsidR="00045F43" w:rsidRDefault="00045F43" w:rsidP="00B3219E">
            <w:pPr>
              <w:rPr>
                <w:szCs w:val="28"/>
              </w:rPr>
            </w:pPr>
            <w:r>
              <w:rPr>
                <w:szCs w:val="28"/>
              </w:rPr>
              <w:t>This checklist will be completed by the CPSC sub-committee for every new or recommissioned service specification sent to CPSC for comment/consultation.  The response summary is completed after consultation and agreement by the sub-committee.</w:t>
            </w:r>
          </w:p>
          <w:p w14:paraId="7FD881D0" w14:textId="77777777" w:rsidR="00045F43" w:rsidRPr="001535B4" w:rsidRDefault="00045F43" w:rsidP="00B3219E">
            <w:pPr>
              <w:rPr>
                <w:sz w:val="10"/>
                <w:szCs w:val="28"/>
              </w:rPr>
            </w:pPr>
          </w:p>
          <w:p w14:paraId="0A6D498E" w14:textId="7BB032A3" w:rsidR="00045F43" w:rsidRDefault="00045F43" w:rsidP="00B3219E">
            <w:pPr>
              <w:rPr>
                <w:szCs w:val="28"/>
              </w:rPr>
            </w:pPr>
            <w:r>
              <w:rPr>
                <w:szCs w:val="28"/>
              </w:rPr>
              <w:t>The Checklist contains the CPSC sub-committee’s comments/recommendations for any requested changes to the proposed/draft service specification in order to achieve / improve further the green rating.  It will be sent to the service commissioner for consideration of amendments ideally prior to go-live of the service.</w:t>
            </w:r>
          </w:p>
          <w:p w14:paraId="2FF905B2" w14:textId="77777777" w:rsidR="00045F43" w:rsidRPr="001535B4" w:rsidRDefault="00045F43" w:rsidP="00B3219E">
            <w:pPr>
              <w:rPr>
                <w:sz w:val="10"/>
                <w:szCs w:val="10"/>
              </w:rPr>
            </w:pPr>
          </w:p>
          <w:p w14:paraId="0F24F5B1" w14:textId="4948BE79" w:rsidR="00045F43" w:rsidRPr="00CF09FC" w:rsidRDefault="00045F43" w:rsidP="00B3219E">
            <w:pPr>
              <w:rPr>
                <w:szCs w:val="28"/>
              </w:rPr>
            </w:pPr>
            <w:r>
              <w:rPr>
                <w:szCs w:val="28"/>
              </w:rPr>
              <w:t>CPSC’s purpose is to work positively with commissioners to ensure high quality outcomes from the service, which are both professionally and commercially viable for contractor participation.</w:t>
            </w:r>
          </w:p>
        </w:tc>
        <w:tc>
          <w:tcPr>
            <w:tcW w:w="799" w:type="dxa"/>
          </w:tcPr>
          <w:p w14:paraId="2DF02D69" w14:textId="77777777" w:rsidR="00045F43" w:rsidRDefault="00045F43" w:rsidP="00B3219E">
            <w:pPr>
              <w:rPr>
                <w:szCs w:val="28"/>
              </w:rPr>
            </w:pPr>
          </w:p>
        </w:tc>
      </w:tr>
      <w:tr w:rsidR="00045F43" w:rsidRPr="00460CB9" w14:paraId="42FE1C3F" w14:textId="15AE34B9" w:rsidTr="00045F43">
        <w:trPr>
          <w:trHeight w:val="625"/>
        </w:trPr>
        <w:tc>
          <w:tcPr>
            <w:tcW w:w="8217" w:type="dxa"/>
            <w:gridSpan w:val="4"/>
            <w:shd w:val="clear" w:color="auto" w:fill="auto"/>
            <w:vAlign w:val="center"/>
          </w:tcPr>
          <w:p w14:paraId="4B2419C9" w14:textId="026B2222" w:rsidR="00045F43" w:rsidRPr="00DE4DBE" w:rsidRDefault="00045F43" w:rsidP="00DE4DBE">
            <w:pPr>
              <w:jc w:val="center"/>
              <w:rPr>
                <w:b/>
                <w:sz w:val="28"/>
                <w:szCs w:val="28"/>
              </w:rPr>
            </w:pPr>
            <w:r w:rsidRPr="00DE4DBE">
              <w:rPr>
                <w:b/>
                <w:sz w:val="28"/>
                <w:szCs w:val="28"/>
              </w:rPr>
              <w:t>Service and Commissioner</w:t>
            </w:r>
          </w:p>
        </w:tc>
        <w:tc>
          <w:tcPr>
            <w:tcW w:w="799" w:type="dxa"/>
          </w:tcPr>
          <w:p w14:paraId="57296656" w14:textId="77777777" w:rsidR="00045F43" w:rsidRPr="00DE4DBE" w:rsidRDefault="00045F43" w:rsidP="00DE4DBE">
            <w:pPr>
              <w:jc w:val="center"/>
              <w:rPr>
                <w:b/>
                <w:sz w:val="28"/>
                <w:szCs w:val="28"/>
              </w:rPr>
            </w:pPr>
          </w:p>
        </w:tc>
      </w:tr>
      <w:tr w:rsidR="00045F43" w:rsidRPr="00460CB9" w14:paraId="2DB797EF" w14:textId="3E68119E" w:rsidTr="00045F43">
        <w:trPr>
          <w:trHeight w:val="1400"/>
        </w:trPr>
        <w:tc>
          <w:tcPr>
            <w:tcW w:w="8217" w:type="dxa"/>
            <w:gridSpan w:val="4"/>
            <w:shd w:val="clear" w:color="auto" w:fill="auto"/>
            <w:vAlign w:val="center"/>
          </w:tcPr>
          <w:p w14:paraId="5C382AD7" w14:textId="77777777" w:rsidR="00742AAF" w:rsidRDefault="00A10574" w:rsidP="00B3219E">
            <w:pPr>
              <w:rPr>
                <w:szCs w:val="28"/>
              </w:rPr>
            </w:pPr>
            <w:r>
              <w:rPr>
                <w:szCs w:val="28"/>
              </w:rPr>
              <w:t>Portsmouth City Council</w:t>
            </w:r>
          </w:p>
          <w:p w14:paraId="694596D0" w14:textId="7A2C97F8" w:rsidR="00A10574" w:rsidRDefault="00A10574" w:rsidP="00B3219E">
            <w:pPr>
              <w:rPr>
                <w:szCs w:val="28"/>
              </w:rPr>
            </w:pPr>
            <w:r>
              <w:rPr>
                <w:szCs w:val="28"/>
              </w:rPr>
              <w:t>Smoking Cessation Service (separate checklist for NRT voucher section)</w:t>
            </w:r>
          </w:p>
        </w:tc>
        <w:tc>
          <w:tcPr>
            <w:tcW w:w="799" w:type="dxa"/>
          </w:tcPr>
          <w:p w14:paraId="3978B836" w14:textId="77777777" w:rsidR="00045F43" w:rsidRDefault="00045F43" w:rsidP="00B3219E">
            <w:pPr>
              <w:rPr>
                <w:szCs w:val="28"/>
              </w:rPr>
            </w:pPr>
          </w:p>
        </w:tc>
      </w:tr>
      <w:tr w:rsidR="00045F43" w:rsidRPr="00460CB9" w14:paraId="4332DA91" w14:textId="5B6C0389" w:rsidTr="00045F43">
        <w:trPr>
          <w:trHeight w:val="575"/>
        </w:trPr>
        <w:tc>
          <w:tcPr>
            <w:tcW w:w="8217" w:type="dxa"/>
            <w:gridSpan w:val="4"/>
            <w:shd w:val="clear" w:color="auto" w:fill="auto"/>
            <w:vAlign w:val="center"/>
          </w:tcPr>
          <w:p w14:paraId="459A1560" w14:textId="64E0FA93" w:rsidR="00045F43" w:rsidRDefault="00045F43" w:rsidP="001535B4">
            <w:pPr>
              <w:jc w:val="center"/>
              <w:rPr>
                <w:b/>
                <w:sz w:val="28"/>
                <w:szCs w:val="28"/>
              </w:rPr>
            </w:pPr>
            <w:r>
              <w:rPr>
                <w:b/>
                <w:sz w:val="28"/>
                <w:szCs w:val="28"/>
              </w:rPr>
              <w:t>Response summary feedback from CPSC</w:t>
            </w:r>
          </w:p>
        </w:tc>
        <w:tc>
          <w:tcPr>
            <w:tcW w:w="799" w:type="dxa"/>
          </w:tcPr>
          <w:p w14:paraId="59D0960E" w14:textId="77777777" w:rsidR="00045F43" w:rsidRDefault="00045F43" w:rsidP="001535B4">
            <w:pPr>
              <w:jc w:val="center"/>
              <w:rPr>
                <w:b/>
                <w:sz w:val="28"/>
                <w:szCs w:val="28"/>
              </w:rPr>
            </w:pPr>
          </w:p>
        </w:tc>
      </w:tr>
      <w:tr w:rsidR="00045F43" w:rsidRPr="00460CB9" w14:paraId="2F71DB59" w14:textId="3E349656" w:rsidTr="002E4863">
        <w:trPr>
          <w:trHeight w:val="575"/>
        </w:trPr>
        <w:tc>
          <w:tcPr>
            <w:tcW w:w="8217" w:type="dxa"/>
            <w:gridSpan w:val="4"/>
            <w:shd w:val="clear" w:color="auto" w:fill="FF0000"/>
            <w:vAlign w:val="center"/>
          </w:tcPr>
          <w:p w14:paraId="5A70AB8B" w14:textId="208ED280" w:rsidR="00045F43" w:rsidRDefault="00045F43" w:rsidP="001535B4">
            <w:pPr>
              <w:jc w:val="center"/>
              <w:rPr>
                <w:b/>
                <w:sz w:val="28"/>
                <w:szCs w:val="28"/>
              </w:rPr>
            </w:pPr>
          </w:p>
        </w:tc>
        <w:tc>
          <w:tcPr>
            <w:tcW w:w="799" w:type="dxa"/>
            <w:shd w:val="clear" w:color="auto" w:fill="FF0000"/>
          </w:tcPr>
          <w:p w14:paraId="02782A14" w14:textId="77777777" w:rsidR="00045F43" w:rsidRDefault="00045F43" w:rsidP="001535B4">
            <w:pPr>
              <w:jc w:val="center"/>
              <w:rPr>
                <w:b/>
                <w:sz w:val="28"/>
                <w:szCs w:val="28"/>
              </w:rPr>
            </w:pPr>
          </w:p>
        </w:tc>
      </w:tr>
      <w:tr w:rsidR="00045F43" w:rsidRPr="00460CB9" w14:paraId="0D705D27" w14:textId="1252C3FD" w:rsidTr="00045F43">
        <w:trPr>
          <w:trHeight w:val="1720"/>
        </w:trPr>
        <w:tc>
          <w:tcPr>
            <w:tcW w:w="8217" w:type="dxa"/>
            <w:gridSpan w:val="4"/>
            <w:shd w:val="clear" w:color="auto" w:fill="auto"/>
            <w:vAlign w:val="center"/>
          </w:tcPr>
          <w:p w14:paraId="258B6E94" w14:textId="691B19BA" w:rsidR="00045F43" w:rsidRDefault="00045F43" w:rsidP="00B3219E">
            <w:pPr>
              <w:rPr>
                <w:szCs w:val="28"/>
              </w:rPr>
            </w:pPr>
            <w:r>
              <w:rPr>
                <w:szCs w:val="28"/>
              </w:rPr>
              <w:t xml:space="preserve">CPSC has rated this service specification as </w:t>
            </w:r>
            <w:r w:rsidR="00CA6F7B">
              <w:rPr>
                <w:szCs w:val="28"/>
              </w:rPr>
              <w:t>Red</w:t>
            </w:r>
            <w:r>
              <w:rPr>
                <w:szCs w:val="28"/>
              </w:rPr>
              <w:t xml:space="preserve"> based on the comments made below. Our recommended actions to further improve the service are:</w:t>
            </w:r>
          </w:p>
          <w:p w14:paraId="3C56EA45" w14:textId="0D5BB951" w:rsidR="00A10574" w:rsidRDefault="00A10574" w:rsidP="009163F2">
            <w:pPr>
              <w:pStyle w:val="ListParagraph"/>
              <w:numPr>
                <w:ilvl w:val="0"/>
                <w:numId w:val="2"/>
              </w:numPr>
              <w:rPr>
                <w:szCs w:val="28"/>
              </w:rPr>
            </w:pPr>
            <w:r>
              <w:rPr>
                <w:szCs w:val="28"/>
              </w:rPr>
              <w:t>Consider initial set up payment for purchase of CO monitor and consumable costs for CO monitor.</w:t>
            </w:r>
          </w:p>
          <w:p w14:paraId="11762107" w14:textId="77777777" w:rsidR="00A10574" w:rsidRDefault="00A10574" w:rsidP="009163F2">
            <w:pPr>
              <w:pStyle w:val="ListParagraph"/>
              <w:numPr>
                <w:ilvl w:val="0"/>
                <w:numId w:val="2"/>
              </w:numPr>
              <w:rPr>
                <w:szCs w:val="28"/>
              </w:rPr>
            </w:pPr>
            <w:r>
              <w:rPr>
                <w:szCs w:val="28"/>
              </w:rPr>
              <w:t xml:space="preserve">Consider backfill payment for 2 day local stop smoking training. This is a large </w:t>
            </w:r>
            <w:proofErr w:type="spellStart"/>
            <w:r>
              <w:rPr>
                <w:szCs w:val="28"/>
              </w:rPr>
              <w:t>up front</w:t>
            </w:r>
            <w:proofErr w:type="spellEnd"/>
            <w:r>
              <w:rPr>
                <w:szCs w:val="28"/>
              </w:rPr>
              <w:t xml:space="preserve"> cost to pharmacy with no guarantee of any income to cover this cost.</w:t>
            </w:r>
          </w:p>
          <w:p w14:paraId="56779D72" w14:textId="77777777" w:rsidR="00045F43" w:rsidRDefault="00A10574" w:rsidP="009163F2">
            <w:pPr>
              <w:pStyle w:val="ListParagraph"/>
              <w:numPr>
                <w:ilvl w:val="0"/>
                <w:numId w:val="2"/>
              </w:numPr>
              <w:rPr>
                <w:szCs w:val="28"/>
              </w:rPr>
            </w:pPr>
            <w:r>
              <w:rPr>
                <w:szCs w:val="28"/>
              </w:rPr>
              <w:t xml:space="preserve">Consider backfill cost for expected ½ day refresher training every year for every practitioner. </w:t>
            </w:r>
          </w:p>
          <w:p w14:paraId="10F7CC96" w14:textId="7E4A679D" w:rsidR="002E4863" w:rsidRPr="0073541F" w:rsidRDefault="0016467C" w:rsidP="009163F2">
            <w:pPr>
              <w:pStyle w:val="ListParagraph"/>
              <w:numPr>
                <w:ilvl w:val="0"/>
                <w:numId w:val="2"/>
              </w:numPr>
              <w:rPr>
                <w:szCs w:val="28"/>
              </w:rPr>
            </w:pPr>
            <w:r>
              <w:rPr>
                <w:szCs w:val="28"/>
              </w:rPr>
              <w:t xml:space="preserve">Properly funded </w:t>
            </w:r>
            <w:r w:rsidR="002E4863">
              <w:rPr>
                <w:szCs w:val="28"/>
              </w:rPr>
              <w:t>Varenicline PGD for full pharmacy based service.</w:t>
            </w:r>
          </w:p>
        </w:tc>
        <w:tc>
          <w:tcPr>
            <w:tcW w:w="799" w:type="dxa"/>
          </w:tcPr>
          <w:p w14:paraId="0C357D61" w14:textId="77777777" w:rsidR="00045F43" w:rsidRDefault="00045F43" w:rsidP="00B3219E">
            <w:pPr>
              <w:rPr>
                <w:szCs w:val="28"/>
              </w:rPr>
            </w:pPr>
          </w:p>
        </w:tc>
      </w:tr>
      <w:tr w:rsidR="00045F43" w:rsidRPr="00460CB9" w14:paraId="180C9C9B" w14:textId="738471F0" w:rsidTr="00045F43">
        <w:trPr>
          <w:trHeight w:val="548"/>
        </w:trPr>
        <w:tc>
          <w:tcPr>
            <w:tcW w:w="8217" w:type="dxa"/>
            <w:gridSpan w:val="4"/>
            <w:shd w:val="clear" w:color="auto" w:fill="auto"/>
            <w:vAlign w:val="center"/>
          </w:tcPr>
          <w:p w14:paraId="2AB25FA9" w14:textId="5CA8B088" w:rsidR="00045F43" w:rsidRDefault="00045F43" w:rsidP="001535B4">
            <w:pPr>
              <w:jc w:val="center"/>
              <w:rPr>
                <w:b/>
                <w:sz w:val="28"/>
                <w:szCs w:val="28"/>
              </w:rPr>
            </w:pPr>
            <w:r>
              <w:rPr>
                <w:b/>
                <w:sz w:val="28"/>
                <w:szCs w:val="28"/>
              </w:rPr>
              <w:t>Time-line &amp; Next Steps for CPSC</w:t>
            </w:r>
          </w:p>
        </w:tc>
        <w:tc>
          <w:tcPr>
            <w:tcW w:w="799" w:type="dxa"/>
          </w:tcPr>
          <w:p w14:paraId="3B13FCAC" w14:textId="77777777" w:rsidR="00045F43" w:rsidRDefault="00045F43" w:rsidP="001535B4">
            <w:pPr>
              <w:jc w:val="center"/>
              <w:rPr>
                <w:b/>
                <w:sz w:val="28"/>
                <w:szCs w:val="28"/>
              </w:rPr>
            </w:pPr>
          </w:p>
        </w:tc>
      </w:tr>
      <w:tr w:rsidR="00045F43" w:rsidRPr="00460CB9" w14:paraId="697577A5" w14:textId="1BB72CAC" w:rsidTr="00045F43">
        <w:trPr>
          <w:trHeight w:val="1412"/>
        </w:trPr>
        <w:tc>
          <w:tcPr>
            <w:tcW w:w="8217" w:type="dxa"/>
            <w:gridSpan w:val="4"/>
            <w:shd w:val="clear" w:color="auto" w:fill="auto"/>
            <w:vAlign w:val="center"/>
          </w:tcPr>
          <w:p w14:paraId="2F9356F0" w14:textId="7F65A68C" w:rsidR="00045F43" w:rsidRDefault="00045F43" w:rsidP="00B3219E">
            <w:r>
              <w:t xml:space="preserve">CPSC will publish this service participation rating to contractors in </w:t>
            </w:r>
            <w:r>
              <w:rPr>
                <w:b/>
              </w:rPr>
              <w:t>10 days’ time.</w:t>
            </w:r>
            <w:r>
              <w:t xml:space="preserve"> </w:t>
            </w:r>
          </w:p>
          <w:p w14:paraId="36E0A15A" w14:textId="5EF647CF" w:rsidR="00045F43" w:rsidRDefault="00045F43" w:rsidP="00B3219E">
            <w:r>
              <w:t>Publication of this recommendation will be via individual email and posting on our website.</w:t>
            </w:r>
          </w:p>
          <w:p w14:paraId="629AD8A1" w14:textId="7A23CECE" w:rsidR="00045F43" w:rsidRPr="00DA6A3F" w:rsidRDefault="00045F43" w:rsidP="00D01E8F">
            <w:pPr>
              <w:rPr>
                <w:color w:val="FF0000"/>
              </w:rPr>
            </w:pPr>
            <w:r w:rsidRPr="00DA6A3F">
              <w:rPr>
                <w:color w:val="FF0000"/>
              </w:rPr>
              <w:t>Commissioners are</w:t>
            </w:r>
            <w:r>
              <w:rPr>
                <w:color w:val="FF0000"/>
              </w:rPr>
              <w:t xml:space="preserve"> asked to please respond promptly with feedback / proposed changes so that they can be included within CPSC’s recommendation to its contractors.</w:t>
            </w:r>
          </w:p>
        </w:tc>
        <w:tc>
          <w:tcPr>
            <w:tcW w:w="799" w:type="dxa"/>
          </w:tcPr>
          <w:p w14:paraId="5D397955" w14:textId="77777777" w:rsidR="00045F43" w:rsidRDefault="00045F43" w:rsidP="00B3219E"/>
        </w:tc>
      </w:tr>
      <w:tr w:rsidR="00045F43" w:rsidRPr="00460CB9" w14:paraId="5EA6B310" w14:textId="62A0D287" w:rsidTr="00045F43">
        <w:trPr>
          <w:trHeight w:val="557"/>
        </w:trPr>
        <w:tc>
          <w:tcPr>
            <w:tcW w:w="8217" w:type="dxa"/>
            <w:gridSpan w:val="4"/>
            <w:shd w:val="clear" w:color="auto" w:fill="auto"/>
            <w:vAlign w:val="center"/>
          </w:tcPr>
          <w:p w14:paraId="5A7BE901" w14:textId="0BF2F9BD" w:rsidR="00045F43" w:rsidRDefault="00045F43" w:rsidP="001535B4">
            <w:pPr>
              <w:jc w:val="center"/>
              <w:rPr>
                <w:b/>
                <w:sz w:val="28"/>
                <w:szCs w:val="28"/>
              </w:rPr>
            </w:pPr>
            <w:r>
              <w:rPr>
                <w:b/>
                <w:sz w:val="28"/>
                <w:szCs w:val="28"/>
              </w:rPr>
              <w:t>Commissioners response to CPSC feedback</w:t>
            </w:r>
          </w:p>
        </w:tc>
        <w:tc>
          <w:tcPr>
            <w:tcW w:w="799" w:type="dxa"/>
          </w:tcPr>
          <w:p w14:paraId="4EB97DA4" w14:textId="77777777" w:rsidR="00045F43" w:rsidRDefault="00045F43" w:rsidP="001535B4">
            <w:pPr>
              <w:jc w:val="center"/>
              <w:rPr>
                <w:b/>
                <w:sz w:val="28"/>
                <w:szCs w:val="28"/>
              </w:rPr>
            </w:pPr>
          </w:p>
        </w:tc>
      </w:tr>
      <w:tr w:rsidR="00045F43" w:rsidRPr="00460CB9" w14:paraId="5D94BD6A" w14:textId="50EE0C4E" w:rsidTr="00CA6F7B">
        <w:trPr>
          <w:trHeight w:val="1975"/>
        </w:trPr>
        <w:tc>
          <w:tcPr>
            <w:tcW w:w="8217" w:type="dxa"/>
            <w:gridSpan w:val="4"/>
            <w:shd w:val="clear" w:color="auto" w:fill="auto"/>
          </w:tcPr>
          <w:p w14:paraId="292DB1AF" w14:textId="77777777" w:rsidR="00045F43" w:rsidRDefault="00045F43" w:rsidP="00DA6A3F">
            <w:pPr>
              <w:rPr>
                <w:color w:val="FF0000"/>
                <w:szCs w:val="28"/>
              </w:rPr>
            </w:pPr>
          </w:p>
          <w:p w14:paraId="3C3055A3" w14:textId="5831B54F" w:rsidR="00045F43" w:rsidRDefault="00045F43" w:rsidP="00DA6A3F">
            <w:r>
              <w:rPr>
                <w:color w:val="FF0000"/>
                <w:szCs w:val="28"/>
              </w:rPr>
              <w:t xml:space="preserve">Please enter response here, returning promptly to </w:t>
            </w:r>
            <w:hyperlink r:id="rId8" w:history="1">
              <w:r w:rsidRPr="000F5B92">
                <w:rPr>
                  <w:rStyle w:val="Hyperlink"/>
                </w:rPr>
                <w:t>alison.freemantle@cpsc.org.uk</w:t>
              </w:r>
            </w:hyperlink>
          </w:p>
          <w:p w14:paraId="7266AAEB" w14:textId="77777777" w:rsidR="00045F43" w:rsidRDefault="00045F43" w:rsidP="0073541F">
            <w:pPr>
              <w:rPr>
                <w:color w:val="FF0000"/>
                <w:szCs w:val="28"/>
              </w:rPr>
            </w:pPr>
          </w:p>
          <w:p w14:paraId="1718D6C7" w14:textId="77777777" w:rsidR="003F40A2" w:rsidRPr="008C4D51" w:rsidRDefault="003F40A2" w:rsidP="003F40A2">
            <w:pPr>
              <w:pStyle w:val="ListParagraph"/>
              <w:numPr>
                <w:ilvl w:val="0"/>
                <w:numId w:val="5"/>
              </w:numPr>
              <w:rPr>
                <w:szCs w:val="28"/>
              </w:rPr>
            </w:pPr>
            <w:r w:rsidRPr="008C4D51">
              <w:rPr>
                <w:szCs w:val="28"/>
              </w:rPr>
              <w:t xml:space="preserve">Providers should already have equipment etc. </w:t>
            </w:r>
          </w:p>
          <w:p w14:paraId="2EF44BCA" w14:textId="77777777" w:rsidR="003F40A2" w:rsidRPr="008C4D51" w:rsidRDefault="003F40A2" w:rsidP="003F40A2">
            <w:pPr>
              <w:pStyle w:val="ListParagraph"/>
              <w:numPr>
                <w:ilvl w:val="0"/>
                <w:numId w:val="5"/>
              </w:numPr>
              <w:rPr>
                <w:szCs w:val="28"/>
              </w:rPr>
            </w:pPr>
            <w:r w:rsidRPr="008C4D51">
              <w:rPr>
                <w:szCs w:val="28"/>
              </w:rPr>
              <w:t>Training being provided FOC and in times available to Pharmacy staff.  Training specification aligns to the minimum standard required by the NCSCT to provide an effective smoking cessation service. Backfill payments do not guarantee us Pharmacies will provide smoking cessation service and represent a significant upfront cost.</w:t>
            </w:r>
          </w:p>
          <w:p w14:paraId="00607D13" w14:textId="495850EC" w:rsidR="00045F43" w:rsidRPr="008C4D51" w:rsidRDefault="003F40A2" w:rsidP="003F40A2">
            <w:pPr>
              <w:pStyle w:val="ListParagraph"/>
              <w:numPr>
                <w:ilvl w:val="0"/>
                <w:numId w:val="5"/>
              </w:numPr>
              <w:rPr>
                <w:szCs w:val="28"/>
              </w:rPr>
            </w:pPr>
            <w:r w:rsidRPr="008C4D51">
              <w:rPr>
                <w:szCs w:val="28"/>
              </w:rPr>
              <w:t>PDG will be developed if there are sufficient Pharmacies offering NRT Voucher across the PO1 - PO6 area.</w:t>
            </w:r>
          </w:p>
          <w:p w14:paraId="5C2538D0" w14:textId="77777777" w:rsidR="008C4D51" w:rsidRPr="008C4D51" w:rsidRDefault="008C4D51" w:rsidP="008C4D51">
            <w:pPr>
              <w:pStyle w:val="ListParagraph"/>
              <w:rPr>
                <w:szCs w:val="28"/>
              </w:rPr>
            </w:pPr>
          </w:p>
          <w:p w14:paraId="5C810B20" w14:textId="26B74B5B" w:rsidR="008C4D51" w:rsidRPr="008C4D51" w:rsidRDefault="008C4D51" w:rsidP="008C4D51">
            <w:pPr>
              <w:rPr>
                <w:color w:val="FF0000"/>
                <w:szCs w:val="28"/>
              </w:rPr>
            </w:pPr>
            <w:r w:rsidRPr="008C4D51">
              <w:rPr>
                <w:szCs w:val="28"/>
              </w:rPr>
              <w:t xml:space="preserve">Additional: </w:t>
            </w:r>
            <w:r w:rsidRPr="008C4D51">
              <w:t>Majority of smoking cessation staff will have already undertaken Level 2 training and will only need to attend Refresher training annually - this can be spread across two evenings to minimise impact on Pharmacy.</w:t>
            </w:r>
            <w:r>
              <w:t xml:space="preserve"> </w:t>
            </w:r>
            <w:r w:rsidRPr="008C4D51">
              <w:t xml:space="preserve">Maintaining knowledge and skills will aid the effective delivery of SCP.  </w:t>
            </w:r>
          </w:p>
        </w:tc>
        <w:tc>
          <w:tcPr>
            <w:tcW w:w="799" w:type="dxa"/>
          </w:tcPr>
          <w:p w14:paraId="575AE413" w14:textId="77777777" w:rsidR="00045F43" w:rsidRDefault="00045F43" w:rsidP="00DA6A3F">
            <w:pPr>
              <w:rPr>
                <w:color w:val="FF0000"/>
                <w:szCs w:val="28"/>
              </w:rPr>
            </w:pPr>
          </w:p>
        </w:tc>
      </w:tr>
      <w:tr w:rsidR="00045F43" w:rsidRPr="00460CB9" w14:paraId="36EABD72" w14:textId="05851CCE" w:rsidTr="00045F43">
        <w:trPr>
          <w:trHeight w:val="284"/>
        </w:trPr>
        <w:tc>
          <w:tcPr>
            <w:tcW w:w="2733" w:type="dxa"/>
            <w:gridSpan w:val="3"/>
            <w:tcBorders>
              <w:right w:val="single" w:sz="4" w:space="0" w:color="auto"/>
            </w:tcBorders>
            <w:shd w:val="clear" w:color="auto" w:fill="95B3D7" w:themeFill="accent1" w:themeFillTint="99"/>
          </w:tcPr>
          <w:p w14:paraId="2E336FD7" w14:textId="5E1CFFB6" w:rsidR="00045F43" w:rsidRPr="00460CB9" w:rsidRDefault="00045F43" w:rsidP="00460CB9">
            <w:pPr>
              <w:jc w:val="center"/>
              <w:rPr>
                <w:b/>
              </w:rPr>
            </w:pPr>
            <w:r w:rsidRPr="00460CB9">
              <w:rPr>
                <w:b/>
              </w:rPr>
              <w:t>Point Covered</w:t>
            </w:r>
          </w:p>
        </w:tc>
        <w:tc>
          <w:tcPr>
            <w:tcW w:w="5484" w:type="dxa"/>
            <w:tcBorders>
              <w:left w:val="single" w:sz="4" w:space="0" w:color="auto"/>
            </w:tcBorders>
            <w:shd w:val="clear" w:color="auto" w:fill="95B3D7" w:themeFill="accent1" w:themeFillTint="99"/>
          </w:tcPr>
          <w:p w14:paraId="065646E7" w14:textId="77777777" w:rsidR="00045F43" w:rsidRPr="00460CB9" w:rsidRDefault="00045F43" w:rsidP="00460CB9">
            <w:pPr>
              <w:jc w:val="center"/>
              <w:rPr>
                <w:b/>
              </w:rPr>
            </w:pPr>
            <w:r w:rsidRPr="00460CB9">
              <w:rPr>
                <w:b/>
              </w:rPr>
              <w:t xml:space="preserve">Action </w:t>
            </w:r>
            <w:r>
              <w:rPr>
                <w:b/>
              </w:rPr>
              <w:t>or Notes</w:t>
            </w:r>
          </w:p>
        </w:tc>
        <w:tc>
          <w:tcPr>
            <w:tcW w:w="799" w:type="dxa"/>
            <w:tcBorders>
              <w:left w:val="single" w:sz="4" w:space="0" w:color="auto"/>
            </w:tcBorders>
            <w:shd w:val="clear" w:color="auto" w:fill="95B3D7" w:themeFill="accent1" w:themeFillTint="99"/>
          </w:tcPr>
          <w:p w14:paraId="5EAEC61A" w14:textId="77777777" w:rsidR="00045F43" w:rsidRPr="00460CB9" w:rsidRDefault="00045F43" w:rsidP="00460CB9">
            <w:pPr>
              <w:jc w:val="center"/>
              <w:rPr>
                <w:b/>
              </w:rPr>
            </w:pPr>
          </w:p>
        </w:tc>
      </w:tr>
      <w:tr w:rsidR="00045F43" w14:paraId="74C8BB4C" w14:textId="27360854" w:rsidTr="00045F43">
        <w:trPr>
          <w:trHeight w:val="567"/>
        </w:trPr>
        <w:tc>
          <w:tcPr>
            <w:tcW w:w="401" w:type="dxa"/>
            <w:gridSpan w:val="2"/>
            <w:tcBorders>
              <w:right w:val="nil"/>
            </w:tcBorders>
          </w:tcPr>
          <w:p w14:paraId="66729AB9" w14:textId="77777777" w:rsidR="00045F43" w:rsidRDefault="00045F43"/>
        </w:tc>
        <w:tc>
          <w:tcPr>
            <w:tcW w:w="7816" w:type="dxa"/>
            <w:gridSpan w:val="2"/>
            <w:tcBorders>
              <w:left w:val="nil"/>
            </w:tcBorders>
            <w:vAlign w:val="center"/>
          </w:tcPr>
          <w:p w14:paraId="55A6A304" w14:textId="222F853A" w:rsidR="00045F43" w:rsidRPr="0053198F" w:rsidRDefault="00045F43" w:rsidP="00460CB9">
            <w:pPr>
              <w:jc w:val="center"/>
              <w:rPr>
                <w:sz w:val="28"/>
                <w:szCs w:val="28"/>
              </w:rPr>
            </w:pPr>
            <w:r>
              <w:rPr>
                <w:b/>
                <w:sz w:val="28"/>
                <w:szCs w:val="28"/>
              </w:rPr>
              <w:t>CPSC</w:t>
            </w:r>
            <w:r w:rsidRPr="0053198F">
              <w:rPr>
                <w:b/>
                <w:sz w:val="28"/>
                <w:szCs w:val="28"/>
              </w:rPr>
              <w:t xml:space="preserve"> Consultation</w:t>
            </w:r>
          </w:p>
        </w:tc>
        <w:tc>
          <w:tcPr>
            <w:tcW w:w="799" w:type="dxa"/>
            <w:tcBorders>
              <w:left w:val="nil"/>
            </w:tcBorders>
          </w:tcPr>
          <w:p w14:paraId="5EEA3C41" w14:textId="77777777" w:rsidR="00045F43" w:rsidRDefault="00045F43" w:rsidP="00460CB9">
            <w:pPr>
              <w:jc w:val="center"/>
              <w:rPr>
                <w:b/>
                <w:sz w:val="28"/>
                <w:szCs w:val="28"/>
              </w:rPr>
            </w:pPr>
          </w:p>
        </w:tc>
      </w:tr>
      <w:tr w:rsidR="00045F43" w14:paraId="2FA224F7" w14:textId="07FF9158" w:rsidTr="00CA6F7B">
        <w:trPr>
          <w:trHeight w:val="454"/>
        </w:trPr>
        <w:tc>
          <w:tcPr>
            <w:tcW w:w="2733" w:type="dxa"/>
            <w:gridSpan w:val="3"/>
            <w:vAlign w:val="center"/>
          </w:tcPr>
          <w:p w14:paraId="53C6538F" w14:textId="01F80E6F" w:rsidR="00045F43" w:rsidRDefault="00045F43" w:rsidP="009163F2">
            <w:r>
              <w:t xml:space="preserve">CPSC Consulted? </w:t>
            </w:r>
          </w:p>
        </w:tc>
        <w:tc>
          <w:tcPr>
            <w:tcW w:w="5484" w:type="dxa"/>
            <w:tcBorders>
              <w:bottom w:val="single" w:sz="4" w:space="0" w:color="auto"/>
            </w:tcBorders>
            <w:shd w:val="clear" w:color="auto" w:fill="auto"/>
          </w:tcPr>
          <w:p w14:paraId="7A808603" w14:textId="221ADED9" w:rsidR="00045F43" w:rsidRDefault="00CA6F7B" w:rsidP="009163F2">
            <w:r>
              <w:t>No</w:t>
            </w:r>
          </w:p>
        </w:tc>
        <w:tc>
          <w:tcPr>
            <w:tcW w:w="799" w:type="dxa"/>
            <w:tcBorders>
              <w:bottom w:val="single" w:sz="4" w:space="0" w:color="auto"/>
            </w:tcBorders>
            <w:shd w:val="clear" w:color="auto" w:fill="FF0000"/>
          </w:tcPr>
          <w:p w14:paraId="7277929D" w14:textId="77777777" w:rsidR="00045F43" w:rsidRDefault="00045F43" w:rsidP="009163F2"/>
        </w:tc>
      </w:tr>
      <w:tr w:rsidR="00045F43" w14:paraId="5AC5A2C0" w14:textId="40FA13A7" w:rsidTr="00CA6F7B">
        <w:trPr>
          <w:trHeight w:val="881"/>
        </w:trPr>
        <w:tc>
          <w:tcPr>
            <w:tcW w:w="2733" w:type="dxa"/>
            <w:gridSpan w:val="3"/>
            <w:vAlign w:val="center"/>
          </w:tcPr>
          <w:p w14:paraId="58245467" w14:textId="52C1809D" w:rsidR="00045F43" w:rsidRDefault="00045F43" w:rsidP="009163F2">
            <w:r>
              <w:t>CPSC Consulted with sufficient time to comment?</w:t>
            </w:r>
          </w:p>
        </w:tc>
        <w:tc>
          <w:tcPr>
            <w:tcW w:w="5484" w:type="dxa"/>
            <w:shd w:val="clear" w:color="auto" w:fill="auto"/>
          </w:tcPr>
          <w:p w14:paraId="04C6D428" w14:textId="6518C416" w:rsidR="00045F43" w:rsidRDefault="00CA6F7B" w:rsidP="009163F2">
            <w:proofErr w:type="gramStart"/>
            <w:r>
              <w:t>No  -</w:t>
            </w:r>
            <w:proofErr w:type="gramEnd"/>
            <w:r>
              <w:t xml:space="preserve"> received service spec same time as contractors.</w:t>
            </w:r>
          </w:p>
        </w:tc>
        <w:tc>
          <w:tcPr>
            <w:tcW w:w="799" w:type="dxa"/>
            <w:shd w:val="clear" w:color="auto" w:fill="FF0000"/>
          </w:tcPr>
          <w:p w14:paraId="54D0C94E" w14:textId="77777777" w:rsidR="00045F43" w:rsidRDefault="00045F43" w:rsidP="009163F2"/>
        </w:tc>
      </w:tr>
      <w:tr w:rsidR="00045F43" w14:paraId="5E44D587" w14:textId="716C3601" w:rsidTr="009163F2">
        <w:trPr>
          <w:trHeight w:val="567"/>
        </w:trPr>
        <w:tc>
          <w:tcPr>
            <w:tcW w:w="401" w:type="dxa"/>
            <w:gridSpan w:val="2"/>
            <w:tcBorders>
              <w:right w:val="nil"/>
            </w:tcBorders>
          </w:tcPr>
          <w:p w14:paraId="6B017DA2" w14:textId="77777777" w:rsidR="00045F43" w:rsidRDefault="00045F43" w:rsidP="009163F2"/>
        </w:tc>
        <w:tc>
          <w:tcPr>
            <w:tcW w:w="7816" w:type="dxa"/>
            <w:gridSpan w:val="2"/>
            <w:tcBorders>
              <w:left w:val="nil"/>
            </w:tcBorders>
            <w:vAlign w:val="center"/>
          </w:tcPr>
          <w:p w14:paraId="333DA08B" w14:textId="77777777" w:rsidR="00045F43" w:rsidRPr="0053198F" w:rsidRDefault="00045F43" w:rsidP="009163F2">
            <w:pPr>
              <w:jc w:val="center"/>
              <w:rPr>
                <w:b/>
                <w:sz w:val="28"/>
                <w:szCs w:val="28"/>
              </w:rPr>
            </w:pPr>
            <w:r w:rsidRPr="0053198F">
              <w:rPr>
                <w:b/>
                <w:sz w:val="28"/>
                <w:szCs w:val="28"/>
              </w:rPr>
              <w:t>Remuneration</w:t>
            </w:r>
          </w:p>
        </w:tc>
        <w:tc>
          <w:tcPr>
            <w:tcW w:w="799" w:type="dxa"/>
            <w:tcBorders>
              <w:left w:val="nil"/>
            </w:tcBorders>
            <w:shd w:val="clear" w:color="auto" w:fill="auto"/>
          </w:tcPr>
          <w:p w14:paraId="5F60AEAF" w14:textId="77777777" w:rsidR="00045F43" w:rsidRPr="0053198F" w:rsidRDefault="00045F43" w:rsidP="009163F2">
            <w:pPr>
              <w:jc w:val="center"/>
              <w:rPr>
                <w:b/>
                <w:sz w:val="28"/>
                <w:szCs w:val="28"/>
              </w:rPr>
            </w:pPr>
          </w:p>
        </w:tc>
      </w:tr>
      <w:tr w:rsidR="00045F43" w14:paraId="7CBA263C" w14:textId="4760491D" w:rsidTr="00CA6F7B">
        <w:trPr>
          <w:trHeight w:val="284"/>
        </w:trPr>
        <w:tc>
          <w:tcPr>
            <w:tcW w:w="2733" w:type="dxa"/>
            <w:gridSpan w:val="3"/>
            <w:vAlign w:val="center"/>
          </w:tcPr>
          <w:p w14:paraId="2AA71D79" w14:textId="55EA3453" w:rsidR="00045F43" w:rsidRDefault="00045F43" w:rsidP="009163F2">
            <w:r>
              <w:t>Does remuneration include/cover set up costs, backfill, consumables etc..?</w:t>
            </w:r>
          </w:p>
        </w:tc>
        <w:tc>
          <w:tcPr>
            <w:tcW w:w="5484" w:type="dxa"/>
            <w:tcBorders>
              <w:bottom w:val="single" w:sz="4" w:space="0" w:color="auto"/>
            </w:tcBorders>
            <w:shd w:val="clear" w:color="auto" w:fill="auto"/>
          </w:tcPr>
          <w:p w14:paraId="0E25451B" w14:textId="4FB6F24D" w:rsidR="00045F43" w:rsidRDefault="00CA6F7B" w:rsidP="009163F2">
            <w:r>
              <w:t>No</w:t>
            </w:r>
          </w:p>
          <w:p w14:paraId="387A45DF" w14:textId="79025FE9" w:rsidR="002E4863" w:rsidRDefault="002E4863" w:rsidP="009163F2">
            <w:r>
              <w:t>No remuneration for training requirements (initial and ongoing attendance).</w:t>
            </w:r>
          </w:p>
          <w:p w14:paraId="0708EEB4" w14:textId="15CEC5BE" w:rsidR="00045F43" w:rsidRDefault="002E4863" w:rsidP="002E4863">
            <w:r>
              <w:t>No remuneration for CO monitor consumables.</w:t>
            </w:r>
          </w:p>
        </w:tc>
        <w:tc>
          <w:tcPr>
            <w:tcW w:w="799" w:type="dxa"/>
            <w:tcBorders>
              <w:bottom w:val="single" w:sz="4" w:space="0" w:color="auto"/>
            </w:tcBorders>
            <w:shd w:val="clear" w:color="auto" w:fill="FF0000"/>
          </w:tcPr>
          <w:p w14:paraId="53E1C888" w14:textId="77777777" w:rsidR="00045F43" w:rsidRDefault="00045F43" w:rsidP="009163F2"/>
        </w:tc>
      </w:tr>
      <w:tr w:rsidR="00045F43" w14:paraId="6A7452EE" w14:textId="683C8EE8" w:rsidTr="00CA6F7B">
        <w:trPr>
          <w:trHeight w:val="1412"/>
        </w:trPr>
        <w:tc>
          <w:tcPr>
            <w:tcW w:w="2733" w:type="dxa"/>
            <w:gridSpan w:val="3"/>
            <w:vAlign w:val="center"/>
          </w:tcPr>
          <w:p w14:paraId="0C59CA81" w14:textId="77777777" w:rsidR="00045F43" w:rsidRDefault="00045F43" w:rsidP="009163F2">
            <w:r>
              <w:t>Does the payment structure use a system that is suitable for all contractors and are the payment terms acceptable?</w:t>
            </w:r>
          </w:p>
        </w:tc>
        <w:tc>
          <w:tcPr>
            <w:tcW w:w="5484" w:type="dxa"/>
            <w:shd w:val="clear" w:color="auto" w:fill="auto"/>
          </w:tcPr>
          <w:p w14:paraId="38CCCD7F" w14:textId="77777777" w:rsidR="00EF07DA" w:rsidRDefault="00EF07DA" w:rsidP="009163F2">
            <w:r>
              <w:t xml:space="preserve"> </w:t>
            </w:r>
            <w:r w:rsidR="00CA6F7B">
              <w:t xml:space="preserve">Yes. </w:t>
            </w:r>
          </w:p>
          <w:p w14:paraId="6BBA7055" w14:textId="14DF74B3" w:rsidR="00CA6F7B" w:rsidRDefault="00CA6F7B" w:rsidP="009163F2">
            <w:r>
              <w:t>PharmOutcomes.</w:t>
            </w:r>
          </w:p>
        </w:tc>
        <w:tc>
          <w:tcPr>
            <w:tcW w:w="799" w:type="dxa"/>
            <w:shd w:val="clear" w:color="auto" w:fill="00B050"/>
          </w:tcPr>
          <w:p w14:paraId="76434B92" w14:textId="77777777" w:rsidR="00045F43" w:rsidRDefault="00045F43" w:rsidP="009163F2"/>
        </w:tc>
      </w:tr>
      <w:tr w:rsidR="00045F43" w14:paraId="217E4207" w14:textId="1813678C" w:rsidTr="00CA6F7B">
        <w:trPr>
          <w:trHeight w:val="284"/>
        </w:trPr>
        <w:tc>
          <w:tcPr>
            <w:tcW w:w="2733" w:type="dxa"/>
            <w:gridSpan w:val="3"/>
            <w:vAlign w:val="center"/>
          </w:tcPr>
          <w:p w14:paraId="0B9E5D97" w14:textId="1E8A5F09" w:rsidR="00045F43" w:rsidRDefault="00045F43" w:rsidP="009163F2">
            <w:r>
              <w:t>Where equipment is required who provides/calibrates/services this? If contractor, does remuneration sufficiently cover the cost of this?</w:t>
            </w:r>
          </w:p>
        </w:tc>
        <w:tc>
          <w:tcPr>
            <w:tcW w:w="5484" w:type="dxa"/>
            <w:shd w:val="clear" w:color="auto" w:fill="auto"/>
          </w:tcPr>
          <w:p w14:paraId="024A5765" w14:textId="77777777" w:rsidR="00EF07DA" w:rsidRDefault="00CA6F7B" w:rsidP="009163F2">
            <w:r>
              <w:t>Contractor to provide and calibrate CO monitor.</w:t>
            </w:r>
          </w:p>
          <w:p w14:paraId="2A8DD2D4" w14:textId="77777777" w:rsidR="00CA6F7B" w:rsidRDefault="00CA6F7B" w:rsidP="009163F2"/>
          <w:p w14:paraId="55791743" w14:textId="272CB415" w:rsidR="00CA6F7B" w:rsidRDefault="00CA6F7B" w:rsidP="009163F2">
            <w:r>
              <w:t>No remuneration for this.</w:t>
            </w:r>
          </w:p>
        </w:tc>
        <w:tc>
          <w:tcPr>
            <w:tcW w:w="799" w:type="dxa"/>
            <w:shd w:val="clear" w:color="auto" w:fill="FF0000"/>
          </w:tcPr>
          <w:p w14:paraId="3B781165" w14:textId="77777777" w:rsidR="00045F43" w:rsidRDefault="00045F43" w:rsidP="009163F2"/>
        </w:tc>
      </w:tr>
      <w:tr w:rsidR="00045F43" w14:paraId="24AC69E5" w14:textId="5F99B4C9" w:rsidTr="002E4863">
        <w:trPr>
          <w:trHeight w:val="467"/>
        </w:trPr>
        <w:tc>
          <w:tcPr>
            <w:tcW w:w="2733" w:type="dxa"/>
            <w:gridSpan w:val="3"/>
            <w:vAlign w:val="center"/>
          </w:tcPr>
          <w:p w14:paraId="10BCC630" w14:textId="69984467" w:rsidR="00045F43" w:rsidRDefault="00045F43" w:rsidP="009163F2">
            <w:r>
              <w:t>Is remuneration fair?</w:t>
            </w:r>
          </w:p>
        </w:tc>
        <w:tc>
          <w:tcPr>
            <w:tcW w:w="5484" w:type="dxa"/>
            <w:shd w:val="clear" w:color="auto" w:fill="auto"/>
          </w:tcPr>
          <w:p w14:paraId="1AFEEC2C" w14:textId="28005580" w:rsidR="009163F2" w:rsidRDefault="00CA6F7B" w:rsidP="009163F2">
            <w:r>
              <w:t>No.</w:t>
            </w:r>
          </w:p>
          <w:p w14:paraId="2FDCD808" w14:textId="2BF389B9" w:rsidR="00CA6F7B" w:rsidRDefault="00CA6F7B" w:rsidP="009163F2">
            <w:r>
              <w:t xml:space="preserve">Large </w:t>
            </w:r>
            <w:proofErr w:type="spellStart"/>
            <w:r>
              <w:t>up front</w:t>
            </w:r>
            <w:proofErr w:type="spellEnd"/>
            <w:r>
              <w:t xml:space="preserve"> investment required by pharmacies for no guaranteed income.</w:t>
            </w:r>
          </w:p>
          <w:p w14:paraId="350BE712" w14:textId="65797198" w:rsidR="00F259B9" w:rsidRDefault="00F259B9" w:rsidP="009163F2"/>
        </w:tc>
        <w:tc>
          <w:tcPr>
            <w:tcW w:w="799" w:type="dxa"/>
            <w:shd w:val="clear" w:color="auto" w:fill="FF0000"/>
          </w:tcPr>
          <w:p w14:paraId="26B96ACC" w14:textId="77777777" w:rsidR="00045F43" w:rsidRDefault="00045F43" w:rsidP="009163F2"/>
        </w:tc>
      </w:tr>
      <w:tr w:rsidR="00045F43" w14:paraId="573E4F34" w14:textId="271E319D" w:rsidTr="00045F43">
        <w:trPr>
          <w:trHeight w:val="567"/>
        </w:trPr>
        <w:tc>
          <w:tcPr>
            <w:tcW w:w="250" w:type="dxa"/>
            <w:tcBorders>
              <w:right w:val="nil"/>
            </w:tcBorders>
            <w:vAlign w:val="center"/>
          </w:tcPr>
          <w:p w14:paraId="03B7D479" w14:textId="77777777" w:rsidR="00045F43" w:rsidRDefault="00045F43" w:rsidP="009163F2"/>
        </w:tc>
        <w:tc>
          <w:tcPr>
            <w:tcW w:w="7967" w:type="dxa"/>
            <w:gridSpan w:val="3"/>
            <w:tcBorders>
              <w:left w:val="nil"/>
            </w:tcBorders>
            <w:vAlign w:val="center"/>
          </w:tcPr>
          <w:p w14:paraId="3E5ED5D6" w14:textId="77777777" w:rsidR="00045F43" w:rsidRPr="0053198F" w:rsidRDefault="00045F43" w:rsidP="009163F2">
            <w:pPr>
              <w:jc w:val="center"/>
              <w:rPr>
                <w:b/>
                <w:sz w:val="28"/>
                <w:szCs w:val="28"/>
              </w:rPr>
            </w:pPr>
            <w:r>
              <w:rPr>
                <w:b/>
                <w:sz w:val="28"/>
                <w:szCs w:val="28"/>
              </w:rPr>
              <w:t>Is/does t</w:t>
            </w:r>
            <w:r w:rsidRPr="0053198F">
              <w:rPr>
                <w:b/>
                <w:sz w:val="28"/>
                <w:szCs w:val="28"/>
              </w:rPr>
              <w:t>he Service</w:t>
            </w:r>
            <w:r>
              <w:rPr>
                <w:b/>
                <w:sz w:val="28"/>
                <w:szCs w:val="28"/>
              </w:rPr>
              <w:t>.....</w:t>
            </w:r>
          </w:p>
        </w:tc>
        <w:tc>
          <w:tcPr>
            <w:tcW w:w="799" w:type="dxa"/>
            <w:tcBorders>
              <w:left w:val="nil"/>
            </w:tcBorders>
          </w:tcPr>
          <w:p w14:paraId="4C621CF1" w14:textId="77777777" w:rsidR="00045F43" w:rsidRDefault="00045F43" w:rsidP="009163F2">
            <w:pPr>
              <w:jc w:val="center"/>
              <w:rPr>
                <w:b/>
                <w:sz w:val="28"/>
                <w:szCs w:val="28"/>
              </w:rPr>
            </w:pPr>
          </w:p>
        </w:tc>
      </w:tr>
      <w:tr w:rsidR="00045F43" w14:paraId="4477199B" w14:textId="6E305339" w:rsidTr="009163F2">
        <w:trPr>
          <w:trHeight w:val="386"/>
        </w:trPr>
        <w:tc>
          <w:tcPr>
            <w:tcW w:w="2733" w:type="dxa"/>
            <w:gridSpan w:val="3"/>
            <w:vAlign w:val="center"/>
          </w:tcPr>
          <w:p w14:paraId="0C715D47" w14:textId="77777777" w:rsidR="00045F43" w:rsidRDefault="00045F43" w:rsidP="009163F2">
            <w:r>
              <w:t>Sustainable?</w:t>
            </w:r>
          </w:p>
        </w:tc>
        <w:tc>
          <w:tcPr>
            <w:tcW w:w="5484" w:type="dxa"/>
            <w:shd w:val="clear" w:color="auto" w:fill="auto"/>
          </w:tcPr>
          <w:p w14:paraId="74142908" w14:textId="5A57C74A" w:rsidR="00045F43" w:rsidRDefault="002E4863" w:rsidP="009163F2">
            <w:r>
              <w:t>No</w:t>
            </w:r>
          </w:p>
        </w:tc>
        <w:tc>
          <w:tcPr>
            <w:tcW w:w="799" w:type="dxa"/>
            <w:shd w:val="clear" w:color="auto" w:fill="auto"/>
          </w:tcPr>
          <w:p w14:paraId="4EF5A10D" w14:textId="77777777" w:rsidR="00045F43" w:rsidRDefault="00045F43" w:rsidP="009163F2"/>
        </w:tc>
      </w:tr>
      <w:tr w:rsidR="00045F43" w14:paraId="5B62E8E4" w14:textId="597D134F" w:rsidTr="002E4863">
        <w:trPr>
          <w:trHeight w:val="935"/>
        </w:trPr>
        <w:tc>
          <w:tcPr>
            <w:tcW w:w="2733" w:type="dxa"/>
            <w:gridSpan w:val="3"/>
            <w:vAlign w:val="center"/>
          </w:tcPr>
          <w:p w14:paraId="6DBF2210" w14:textId="556B1BBF" w:rsidR="00045F43" w:rsidRDefault="00045F43" w:rsidP="009163F2">
            <w:r>
              <w:lastRenderedPageBreak/>
              <w:t>Start/ end date</w:t>
            </w:r>
          </w:p>
        </w:tc>
        <w:tc>
          <w:tcPr>
            <w:tcW w:w="5484" w:type="dxa"/>
            <w:shd w:val="clear" w:color="auto" w:fill="auto"/>
          </w:tcPr>
          <w:p w14:paraId="502DCEBF" w14:textId="77777777" w:rsidR="008138B5" w:rsidRDefault="002E4863" w:rsidP="009163F2">
            <w:r>
              <w:t>1</w:t>
            </w:r>
            <w:r w:rsidRPr="002E4863">
              <w:rPr>
                <w:vertAlign w:val="superscript"/>
              </w:rPr>
              <w:t>st</w:t>
            </w:r>
            <w:r>
              <w:t xml:space="preserve"> April 2021 – 31</w:t>
            </w:r>
            <w:r w:rsidRPr="002E4863">
              <w:rPr>
                <w:vertAlign w:val="superscript"/>
              </w:rPr>
              <w:t>st</w:t>
            </w:r>
            <w:r>
              <w:t xml:space="preserve"> March 2026</w:t>
            </w:r>
          </w:p>
          <w:p w14:paraId="1B22F379" w14:textId="77777777" w:rsidR="002E4863" w:rsidRDefault="002E4863" w:rsidP="009163F2"/>
          <w:p w14:paraId="588AAEDB" w14:textId="77D4AFA5" w:rsidR="002E4863" w:rsidRDefault="002E4863" w:rsidP="009163F2">
            <w:r>
              <w:t>No funding review during this period.</w:t>
            </w:r>
          </w:p>
        </w:tc>
        <w:tc>
          <w:tcPr>
            <w:tcW w:w="799" w:type="dxa"/>
            <w:shd w:val="clear" w:color="auto" w:fill="00B050"/>
          </w:tcPr>
          <w:p w14:paraId="2E5AA34E" w14:textId="77777777" w:rsidR="00045F43" w:rsidRDefault="00045F43" w:rsidP="009163F2"/>
        </w:tc>
      </w:tr>
      <w:tr w:rsidR="002E4863" w14:paraId="16A74219" w14:textId="68E13121" w:rsidTr="002E4863">
        <w:trPr>
          <w:trHeight w:val="132"/>
        </w:trPr>
        <w:tc>
          <w:tcPr>
            <w:tcW w:w="2733" w:type="dxa"/>
            <w:gridSpan w:val="3"/>
            <w:vAlign w:val="center"/>
          </w:tcPr>
          <w:p w14:paraId="281E3955" w14:textId="109E1D2A" w:rsidR="002E4863" w:rsidRDefault="002E4863" w:rsidP="002E4863">
            <w:r>
              <w:t>Clinically sound and in line with appropriate National or local guidance?</w:t>
            </w:r>
          </w:p>
        </w:tc>
        <w:tc>
          <w:tcPr>
            <w:tcW w:w="5484" w:type="dxa"/>
            <w:shd w:val="clear" w:color="auto" w:fill="auto"/>
          </w:tcPr>
          <w:p w14:paraId="2EBE001F" w14:textId="77777777" w:rsidR="002E4863" w:rsidRDefault="002E4863" w:rsidP="002E4863">
            <w:r>
              <w:t xml:space="preserve">Yes. </w:t>
            </w:r>
          </w:p>
          <w:p w14:paraId="4A17719E" w14:textId="77777777" w:rsidR="002E4863" w:rsidRDefault="002E4863" w:rsidP="002E4863">
            <w:r>
              <w:t>Smoking is the single greatest cause of preventable and premature death in the UK.</w:t>
            </w:r>
          </w:p>
          <w:p w14:paraId="006E8867" w14:textId="77777777" w:rsidR="002E4863" w:rsidRPr="00DB14C5" w:rsidRDefault="002E4863" w:rsidP="002E4863">
            <w:pPr>
              <w:pStyle w:val="ListParagraph"/>
              <w:autoSpaceDE w:val="0"/>
              <w:autoSpaceDN w:val="0"/>
              <w:adjustRightInd w:val="0"/>
              <w:ind w:left="0" w:right="186"/>
              <w:rPr>
                <w:rFonts w:eastAsia="Calibri" w:cstheme="minorHAnsi"/>
                <w:color w:val="000000"/>
              </w:rPr>
            </w:pPr>
            <w:r w:rsidRPr="00DB14C5">
              <w:rPr>
                <w:rFonts w:eastAsia="Calibri" w:cstheme="minorHAnsi"/>
                <w:color w:val="000000"/>
              </w:rPr>
              <w:t>https://www.medicines.org.uk</w:t>
            </w:r>
          </w:p>
          <w:p w14:paraId="2B738E44" w14:textId="77777777" w:rsidR="002E4863" w:rsidRPr="00DB14C5" w:rsidRDefault="002E4863" w:rsidP="002E4863">
            <w:pPr>
              <w:pStyle w:val="ListParagraph"/>
              <w:autoSpaceDE w:val="0"/>
              <w:autoSpaceDN w:val="0"/>
              <w:adjustRightInd w:val="0"/>
              <w:ind w:left="0" w:right="186"/>
              <w:rPr>
                <w:rFonts w:eastAsia="Calibri" w:cstheme="minorHAnsi"/>
                <w:color w:val="000000"/>
              </w:rPr>
            </w:pPr>
            <w:r w:rsidRPr="00DB14C5">
              <w:rPr>
                <w:rFonts w:eastAsia="Calibri" w:cstheme="minorHAnsi"/>
                <w:color w:val="000000"/>
              </w:rPr>
              <w:t>https://bnf.nice.org.uk/drug/nicotine.html</w:t>
            </w:r>
          </w:p>
          <w:p w14:paraId="0B259F0C" w14:textId="77777777" w:rsidR="002E4863" w:rsidRDefault="002E4863" w:rsidP="002E4863">
            <w:pPr>
              <w:pStyle w:val="ListParagraph"/>
              <w:autoSpaceDE w:val="0"/>
              <w:autoSpaceDN w:val="0"/>
              <w:adjustRightInd w:val="0"/>
              <w:ind w:left="0" w:right="186"/>
              <w:rPr>
                <w:rFonts w:eastAsia="Calibri" w:cstheme="minorHAnsi"/>
                <w:color w:val="000000"/>
              </w:rPr>
            </w:pPr>
            <w:r w:rsidRPr="00E64F20">
              <w:rPr>
                <w:rFonts w:eastAsia="Calibri" w:cstheme="minorHAnsi"/>
                <w:color w:val="000000"/>
              </w:rPr>
              <w:t>https://www.nice.org.uk/guidance/ng92</w:t>
            </w:r>
          </w:p>
          <w:p w14:paraId="2A8A4C8B" w14:textId="19288D16" w:rsidR="002E4863" w:rsidRDefault="002E4863" w:rsidP="002E4863"/>
        </w:tc>
        <w:tc>
          <w:tcPr>
            <w:tcW w:w="799" w:type="dxa"/>
            <w:shd w:val="clear" w:color="auto" w:fill="00B050"/>
          </w:tcPr>
          <w:p w14:paraId="2226A15F" w14:textId="77777777" w:rsidR="002E4863" w:rsidRDefault="002E4863" w:rsidP="002E4863"/>
        </w:tc>
      </w:tr>
      <w:tr w:rsidR="002E4863" w14:paraId="5B9C68F9" w14:textId="070B8EDC" w:rsidTr="002E4863">
        <w:trPr>
          <w:trHeight w:val="341"/>
        </w:trPr>
        <w:tc>
          <w:tcPr>
            <w:tcW w:w="2733" w:type="dxa"/>
            <w:gridSpan w:val="3"/>
            <w:vAlign w:val="center"/>
          </w:tcPr>
          <w:p w14:paraId="299F6524" w14:textId="1CD18364" w:rsidR="002E4863" w:rsidRDefault="002E4863" w:rsidP="002E4863">
            <w:r>
              <w:t>Enhance patient care?</w:t>
            </w:r>
          </w:p>
        </w:tc>
        <w:tc>
          <w:tcPr>
            <w:tcW w:w="5484" w:type="dxa"/>
            <w:tcBorders>
              <w:bottom w:val="single" w:sz="4" w:space="0" w:color="auto"/>
            </w:tcBorders>
            <w:shd w:val="clear" w:color="auto" w:fill="auto"/>
          </w:tcPr>
          <w:p w14:paraId="62F7E86C" w14:textId="5A6F3291" w:rsidR="002E4863" w:rsidRDefault="002E4863" w:rsidP="002E4863">
            <w:r>
              <w:t>Yes, for people over 18 years old living in Portsmouth (PO1 – PO6) or registered with a GP practice within PCC or regularly works in Portsmouth and cannot access service where live. Currently approx. 16% smoking</w:t>
            </w:r>
          </w:p>
        </w:tc>
        <w:tc>
          <w:tcPr>
            <w:tcW w:w="799" w:type="dxa"/>
            <w:tcBorders>
              <w:bottom w:val="single" w:sz="4" w:space="0" w:color="auto"/>
            </w:tcBorders>
            <w:shd w:val="clear" w:color="auto" w:fill="00B050"/>
          </w:tcPr>
          <w:p w14:paraId="617447D7" w14:textId="77777777" w:rsidR="002E4863" w:rsidRDefault="002E4863" w:rsidP="002E4863"/>
        </w:tc>
      </w:tr>
      <w:tr w:rsidR="002E4863" w14:paraId="125299A8" w14:textId="5B3F2407" w:rsidTr="00CA55D8">
        <w:trPr>
          <w:trHeight w:val="872"/>
        </w:trPr>
        <w:tc>
          <w:tcPr>
            <w:tcW w:w="2733" w:type="dxa"/>
            <w:gridSpan w:val="3"/>
            <w:vAlign w:val="center"/>
          </w:tcPr>
          <w:p w14:paraId="1A740E52" w14:textId="0D962D3A" w:rsidR="002E4863" w:rsidRDefault="002E4863" w:rsidP="002E4863">
            <w:r>
              <w:t>Have suitable monitoring arrangements and termination clauses?</w:t>
            </w:r>
          </w:p>
        </w:tc>
        <w:tc>
          <w:tcPr>
            <w:tcW w:w="5484" w:type="dxa"/>
            <w:shd w:val="clear" w:color="auto" w:fill="auto"/>
          </w:tcPr>
          <w:p w14:paraId="798B41B7" w14:textId="77777777" w:rsidR="002E4863" w:rsidRDefault="002E4863" w:rsidP="002E4863">
            <w:r>
              <w:t>Yes</w:t>
            </w:r>
          </w:p>
          <w:p w14:paraId="40D42F59" w14:textId="68BA0DBA" w:rsidR="002E4863" w:rsidRDefault="002E4863" w:rsidP="002E4863">
            <w:r>
              <w:t>There will be a rolling performance review every 6 months (based on PO data, no input required by pharmacy).</w:t>
            </w:r>
          </w:p>
          <w:p w14:paraId="27293084" w14:textId="44AD9759" w:rsidR="002E4863" w:rsidRDefault="002E4863" w:rsidP="002E4863"/>
          <w:p w14:paraId="5294180F" w14:textId="2B11689B" w:rsidR="002E4863" w:rsidRDefault="002E4863" w:rsidP="002E4863">
            <w:r>
              <w:t>Termination clauses for poor performance.</w:t>
            </w:r>
          </w:p>
          <w:p w14:paraId="71562EE9" w14:textId="5F65EE54" w:rsidR="002E4863" w:rsidRDefault="002E4863" w:rsidP="002E4863"/>
        </w:tc>
        <w:tc>
          <w:tcPr>
            <w:tcW w:w="799" w:type="dxa"/>
            <w:shd w:val="clear" w:color="auto" w:fill="00B050"/>
          </w:tcPr>
          <w:p w14:paraId="205616B6" w14:textId="77777777" w:rsidR="002E4863" w:rsidRDefault="002E4863" w:rsidP="002E4863"/>
        </w:tc>
      </w:tr>
      <w:tr w:rsidR="002E4863" w14:paraId="2FF73E44" w14:textId="375D1898" w:rsidTr="00CA55D8">
        <w:trPr>
          <w:trHeight w:val="284"/>
        </w:trPr>
        <w:tc>
          <w:tcPr>
            <w:tcW w:w="2733" w:type="dxa"/>
            <w:gridSpan w:val="3"/>
            <w:vAlign w:val="center"/>
          </w:tcPr>
          <w:p w14:paraId="05DD82FF" w14:textId="2CAA5079" w:rsidR="002E4863" w:rsidRDefault="002E4863" w:rsidP="002E4863">
            <w:r>
              <w:t>Enhance relationships with other HCPs?</w:t>
            </w:r>
          </w:p>
        </w:tc>
        <w:tc>
          <w:tcPr>
            <w:tcW w:w="5484" w:type="dxa"/>
            <w:shd w:val="clear" w:color="auto" w:fill="auto"/>
          </w:tcPr>
          <w:p w14:paraId="1DF7369F" w14:textId="55E6C5BE" w:rsidR="002E4863" w:rsidRDefault="002E4863" w:rsidP="002E4863">
            <w:r>
              <w:t>Yes, particularly with staff working at the wellbeing hub for onward referral of more complex cases.</w:t>
            </w:r>
          </w:p>
        </w:tc>
        <w:tc>
          <w:tcPr>
            <w:tcW w:w="799" w:type="dxa"/>
            <w:shd w:val="clear" w:color="auto" w:fill="00B050"/>
          </w:tcPr>
          <w:p w14:paraId="09855670" w14:textId="77777777" w:rsidR="002E4863" w:rsidRDefault="002E4863" w:rsidP="002E4863"/>
        </w:tc>
      </w:tr>
      <w:tr w:rsidR="002E4863" w14:paraId="0663853B" w14:textId="5B49B9CC" w:rsidTr="00CA55D8">
        <w:trPr>
          <w:trHeight w:val="359"/>
        </w:trPr>
        <w:tc>
          <w:tcPr>
            <w:tcW w:w="2733" w:type="dxa"/>
            <w:gridSpan w:val="3"/>
            <w:vAlign w:val="center"/>
          </w:tcPr>
          <w:p w14:paraId="3B1C7BA3" w14:textId="77777777" w:rsidR="002E4863" w:rsidRDefault="002E4863" w:rsidP="002E4863">
            <w:r>
              <w:t>Deliverable?</w:t>
            </w:r>
          </w:p>
        </w:tc>
        <w:tc>
          <w:tcPr>
            <w:tcW w:w="5484" w:type="dxa"/>
            <w:shd w:val="clear" w:color="auto" w:fill="auto"/>
          </w:tcPr>
          <w:p w14:paraId="5D0E3DBE" w14:textId="0E7FE8F9" w:rsidR="002E4863" w:rsidRDefault="002E4863" w:rsidP="002E4863">
            <w:r>
              <w:t>Yes</w:t>
            </w:r>
          </w:p>
        </w:tc>
        <w:tc>
          <w:tcPr>
            <w:tcW w:w="799" w:type="dxa"/>
            <w:shd w:val="clear" w:color="auto" w:fill="00B050"/>
          </w:tcPr>
          <w:p w14:paraId="36699B1B" w14:textId="77777777" w:rsidR="002E4863" w:rsidRDefault="002E4863" w:rsidP="002E4863"/>
        </w:tc>
      </w:tr>
      <w:tr w:rsidR="002E4863" w14:paraId="3E4D7843" w14:textId="7703C887" w:rsidTr="00CA55D8">
        <w:trPr>
          <w:trHeight w:val="908"/>
        </w:trPr>
        <w:tc>
          <w:tcPr>
            <w:tcW w:w="2733" w:type="dxa"/>
            <w:gridSpan w:val="3"/>
            <w:vAlign w:val="center"/>
          </w:tcPr>
          <w:p w14:paraId="32FAEECB" w14:textId="77777777" w:rsidR="002E4863" w:rsidRDefault="002E4863" w:rsidP="002E4863">
            <w:r>
              <w:t>Attractive enough for contractors to consider it worthwhile?</w:t>
            </w:r>
          </w:p>
        </w:tc>
        <w:tc>
          <w:tcPr>
            <w:tcW w:w="5484" w:type="dxa"/>
            <w:shd w:val="clear" w:color="auto" w:fill="auto"/>
          </w:tcPr>
          <w:p w14:paraId="5FA7AABA" w14:textId="40DD8BB7" w:rsidR="002E4863" w:rsidRDefault="002E4863" w:rsidP="002E4863">
            <w:r>
              <w:t>No.</w:t>
            </w:r>
          </w:p>
        </w:tc>
        <w:tc>
          <w:tcPr>
            <w:tcW w:w="799" w:type="dxa"/>
            <w:shd w:val="clear" w:color="auto" w:fill="FF0000"/>
          </w:tcPr>
          <w:p w14:paraId="6730DB4D" w14:textId="77777777" w:rsidR="002E4863" w:rsidRDefault="002E4863" w:rsidP="002E4863"/>
        </w:tc>
      </w:tr>
      <w:tr w:rsidR="002E4863" w14:paraId="2F208423" w14:textId="5D45183A" w:rsidTr="00CA55D8">
        <w:trPr>
          <w:trHeight w:val="944"/>
        </w:trPr>
        <w:tc>
          <w:tcPr>
            <w:tcW w:w="2733" w:type="dxa"/>
            <w:gridSpan w:val="3"/>
            <w:vAlign w:val="center"/>
          </w:tcPr>
          <w:p w14:paraId="3D0B8240" w14:textId="77777777" w:rsidR="002E4863" w:rsidRDefault="002E4863" w:rsidP="002E4863">
            <w:r>
              <w:t>Have performance criteria that supports a quality service?</w:t>
            </w:r>
          </w:p>
        </w:tc>
        <w:tc>
          <w:tcPr>
            <w:tcW w:w="5484" w:type="dxa"/>
            <w:shd w:val="clear" w:color="auto" w:fill="auto"/>
          </w:tcPr>
          <w:p w14:paraId="6CB0E2C5" w14:textId="77777777" w:rsidR="002E4863" w:rsidRDefault="002E4863" w:rsidP="002E4863">
            <w:r>
              <w:t>Yes</w:t>
            </w:r>
          </w:p>
          <w:p w14:paraId="1DFAF8C0" w14:textId="4025ACE0" w:rsidR="002E4863" w:rsidRDefault="002E4863" w:rsidP="002E4863">
            <w:r>
              <w:t>Quit rate of at least 50%</w:t>
            </w:r>
          </w:p>
          <w:p w14:paraId="0065E006" w14:textId="1E5486DD" w:rsidR="002E4863" w:rsidRDefault="002E4863" w:rsidP="002E4863">
            <w:r>
              <w:t>Every 3 months:</w:t>
            </w:r>
          </w:p>
          <w:p w14:paraId="2BC6A18E" w14:textId="1363CB8A" w:rsidR="002E4863" w:rsidRDefault="002E4863" w:rsidP="002E4863">
            <w:r>
              <w:t xml:space="preserve">Support at least 5 people </w:t>
            </w:r>
            <w:r w:rsidR="00CA55D8">
              <w:t xml:space="preserve">to 4 </w:t>
            </w:r>
            <w:proofErr w:type="spellStart"/>
            <w:r w:rsidR="00CA55D8">
              <w:t>wk</w:t>
            </w:r>
            <w:proofErr w:type="spellEnd"/>
            <w:r w:rsidR="00CA55D8">
              <w:t xml:space="preserve"> quit and 3 people to 12 </w:t>
            </w:r>
            <w:proofErr w:type="spellStart"/>
            <w:r w:rsidR="00CA55D8">
              <w:t>wk</w:t>
            </w:r>
            <w:proofErr w:type="spellEnd"/>
            <w:r w:rsidR="00CA55D8">
              <w:t xml:space="preserve"> quit.</w:t>
            </w:r>
          </w:p>
          <w:p w14:paraId="7D9097E7" w14:textId="68C9BA3F" w:rsidR="002E4863" w:rsidRDefault="002E4863" w:rsidP="002E4863"/>
        </w:tc>
        <w:tc>
          <w:tcPr>
            <w:tcW w:w="799" w:type="dxa"/>
            <w:shd w:val="clear" w:color="auto" w:fill="00B050"/>
          </w:tcPr>
          <w:p w14:paraId="3EBF5139" w14:textId="77777777" w:rsidR="002E4863" w:rsidRDefault="002E4863" w:rsidP="002E4863"/>
        </w:tc>
      </w:tr>
      <w:tr w:rsidR="002E4863" w14:paraId="2A5BB2CC" w14:textId="042A68E2" w:rsidTr="00045F43">
        <w:trPr>
          <w:trHeight w:val="567"/>
        </w:trPr>
        <w:tc>
          <w:tcPr>
            <w:tcW w:w="250" w:type="dxa"/>
            <w:tcBorders>
              <w:right w:val="nil"/>
            </w:tcBorders>
            <w:vAlign w:val="center"/>
          </w:tcPr>
          <w:p w14:paraId="0D79F913" w14:textId="77777777" w:rsidR="002E4863" w:rsidRDefault="002E4863" w:rsidP="002E4863"/>
        </w:tc>
        <w:tc>
          <w:tcPr>
            <w:tcW w:w="7967" w:type="dxa"/>
            <w:gridSpan w:val="3"/>
            <w:tcBorders>
              <w:left w:val="nil"/>
            </w:tcBorders>
            <w:vAlign w:val="center"/>
          </w:tcPr>
          <w:p w14:paraId="1B5516E3" w14:textId="77777777" w:rsidR="002E4863" w:rsidRPr="0053198F" w:rsidRDefault="002E4863" w:rsidP="002E4863">
            <w:pPr>
              <w:jc w:val="center"/>
              <w:rPr>
                <w:b/>
                <w:sz w:val="28"/>
                <w:szCs w:val="28"/>
              </w:rPr>
            </w:pPr>
            <w:r w:rsidRPr="0053198F">
              <w:rPr>
                <w:b/>
                <w:sz w:val="28"/>
                <w:szCs w:val="28"/>
              </w:rPr>
              <w:t>Service Delivery</w:t>
            </w:r>
          </w:p>
        </w:tc>
        <w:tc>
          <w:tcPr>
            <w:tcW w:w="799" w:type="dxa"/>
            <w:tcBorders>
              <w:left w:val="nil"/>
            </w:tcBorders>
          </w:tcPr>
          <w:p w14:paraId="6A065D65" w14:textId="77777777" w:rsidR="002E4863" w:rsidRPr="0053198F" w:rsidRDefault="002E4863" w:rsidP="002E4863">
            <w:pPr>
              <w:jc w:val="center"/>
              <w:rPr>
                <w:b/>
                <w:sz w:val="28"/>
                <w:szCs w:val="28"/>
              </w:rPr>
            </w:pPr>
          </w:p>
        </w:tc>
      </w:tr>
      <w:tr w:rsidR="002E4863" w14:paraId="67E7670C" w14:textId="4B7895D5" w:rsidTr="00CA55D8">
        <w:trPr>
          <w:trHeight w:val="953"/>
        </w:trPr>
        <w:tc>
          <w:tcPr>
            <w:tcW w:w="2733" w:type="dxa"/>
            <w:gridSpan w:val="3"/>
            <w:vAlign w:val="center"/>
          </w:tcPr>
          <w:p w14:paraId="1AE6F5A8" w14:textId="77777777" w:rsidR="002E4863" w:rsidRDefault="002E4863" w:rsidP="002E4863">
            <w:r>
              <w:t>Are the performance measures reasonable and achievable?</w:t>
            </w:r>
          </w:p>
        </w:tc>
        <w:tc>
          <w:tcPr>
            <w:tcW w:w="5484" w:type="dxa"/>
            <w:tcBorders>
              <w:bottom w:val="single" w:sz="4" w:space="0" w:color="auto"/>
            </w:tcBorders>
          </w:tcPr>
          <w:p w14:paraId="0739E8CB" w14:textId="77777777" w:rsidR="002E4863" w:rsidRDefault="002E4863" w:rsidP="002E4863"/>
          <w:p w14:paraId="53A479F4" w14:textId="6826E665" w:rsidR="002E4863" w:rsidRDefault="00CA55D8" w:rsidP="002E4863">
            <w:r>
              <w:t>Dependent on patients accessing the pharmacy – something the pharmacy has no control over.</w:t>
            </w:r>
          </w:p>
        </w:tc>
        <w:tc>
          <w:tcPr>
            <w:tcW w:w="799" w:type="dxa"/>
            <w:tcBorders>
              <w:bottom w:val="single" w:sz="4" w:space="0" w:color="auto"/>
            </w:tcBorders>
            <w:shd w:val="clear" w:color="auto" w:fill="FFC000"/>
          </w:tcPr>
          <w:p w14:paraId="6C18E46B" w14:textId="77777777" w:rsidR="002E4863" w:rsidRDefault="002E4863" w:rsidP="002E4863"/>
        </w:tc>
      </w:tr>
      <w:tr w:rsidR="002E4863" w14:paraId="63C6D57B" w14:textId="778BB591" w:rsidTr="00CA55D8">
        <w:trPr>
          <w:trHeight w:val="944"/>
        </w:trPr>
        <w:tc>
          <w:tcPr>
            <w:tcW w:w="2733" w:type="dxa"/>
            <w:gridSpan w:val="3"/>
            <w:vAlign w:val="center"/>
          </w:tcPr>
          <w:p w14:paraId="3369164B" w14:textId="08F99684" w:rsidR="002E4863" w:rsidRDefault="002E4863" w:rsidP="002E4863">
            <w:r>
              <w:t>Is the administration proportional to size or service and remuneration?</w:t>
            </w:r>
          </w:p>
        </w:tc>
        <w:tc>
          <w:tcPr>
            <w:tcW w:w="5484" w:type="dxa"/>
            <w:tcBorders>
              <w:bottom w:val="single" w:sz="4" w:space="0" w:color="auto"/>
            </w:tcBorders>
            <w:shd w:val="clear" w:color="auto" w:fill="auto"/>
          </w:tcPr>
          <w:p w14:paraId="61891A67" w14:textId="6D899952" w:rsidR="002E4863" w:rsidRDefault="00CA55D8" w:rsidP="002E4863">
            <w:r>
              <w:t>Yes</w:t>
            </w:r>
          </w:p>
        </w:tc>
        <w:tc>
          <w:tcPr>
            <w:tcW w:w="799" w:type="dxa"/>
            <w:tcBorders>
              <w:bottom w:val="single" w:sz="4" w:space="0" w:color="auto"/>
            </w:tcBorders>
            <w:shd w:val="clear" w:color="auto" w:fill="00B050"/>
          </w:tcPr>
          <w:p w14:paraId="45C16D58" w14:textId="77777777" w:rsidR="002E4863" w:rsidRDefault="002E4863" w:rsidP="002E4863"/>
        </w:tc>
      </w:tr>
      <w:tr w:rsidR="002E4863" w14:paraId="7D161ADB" w14:textId="70A1118C" w:rsidTr="00CA55D8">
        <w:trPr>
          <w:trHeight w:val="688"/>
        </w:trPr>
        <w:tc>
          <w:tcPr>
            <w:tcW w:w="2733" w:type="dxa"/>
            <w:gridSpan w:val="3"/>
            <w:vAlign w:val="center"/>
          </w:tcPr>
          <w:p w14:paraId="5DF8B762" w14:textId="77777777" w:rsidR="002E4863" w:rsidRDefault="002E4863" w:rsidP="002E4863">
            <w:r>
              <w:t>Are any reporting systems suitable to all contractors?</w:t>
            </w:r>
          </w:p>
        </w:tc>
        <w:tc>
          <w:tcPr>
            <w:tcW w:w="5484" w:type="dxa"/>
            <w:tcBorders>
              <w:bottom w:val="single" w:sz="4" w:space="0" w:color="auto"/>
            </w:tcBorders>
            <w:shd w:val="clear" w:color="auto" w:fill="auto"/>
          </w:tcPr>
          <w:p w14:paraId="177B66A1" w14:textId="77777777" w:rsidR="002E4863" w:rsidRDefault="00CA55D8" w:rsidP="002E4863">
            <w:r>
              <w:t>Yes</w:t>
            </w:r>
          </w:p>
          <w:p w14:paraId="29A0136E" w14:textId="59C07986" w:rsidR="00CA55D8" w:rsidRDefault="00CA55D8" w:rsidP="002E4863">
            <w:r>
              <w:t>PharmOutcomes</w:t>
            </w:r>
          </w:p>
        </w:tc>
        <w:tc>
          <w:tcPr>
            <w:tcW w:w="799" w:type="dxa"/>
            <w:tcBorders>
              <w:bottom w:val="single" w:sz="4" w:space="0" w:color="auto"/>
            </w:tcBorders>
            <w:shd w:val="clear" w:color="auto" w:fill="00B050"/>
          </w:tcPr>
          <w:p w14:paraId="6E2B1301" w14:textId="77777777" w:rsidR="002E4863" w:rsidRDefault="002E4863" w:rsidP="002E4863"/>
        </w:tc>
      </w:tr>
      <w:tr w:rsidR="002E4863" w14:paraId="0A0C87A0" w14:textId="374D2E97" w:rsidTr="00CA55D8">
        <w:trPr>
          <w:trHeight w:val="1553"/>
        </w:trPr>
        <w:tc>
          <w:tcPr>
            <w:tcW w:w="2733" w:type="dxa"/>
            <w:gridSpan w:val="3"/>
            <w:vAlign w:val="center"/>
          </w:tcPr>
          <w:p w14:paraId="541130BA" w14:textId="5D3E143E" w:rsidR="002E4863" w:rsidRDefault="002E4863" w:rsidP="002E4863">
            <w:r>
              <w:lastRenderedPageBreak/>
              <w:t>Is the training required for the service reasonable? Consider accessibility to CPPE for non-pharmacist/technician staff.</w:t>
            </w:r>
          </w:p>
        </w:tc>
        <w:tc>
          <w:tcPr>
            <w:tcW w:w="5484" w:type="dxa"/>
            <w:shd w:val="clear" w:color="auto" w:fill="auto"/>
          </w:tcPr>
          <w:p w14:paraId="43D5E05B" w14:textId="289FD41C" w:rsidR="002E4863" w:rsidRDefault="00CA55D8" w:rsidP="002E4863">
            <w:r>
              <w:t>No</w:t>
            </w:r>
          </w:p>
          <w:p w14:paraId="16990C44" w14:textId="0FF5550D" w:rsidR="00CA55D8" w:rsidRDefault="00CA55D8" w:rsidP="002E4863">
            <w:r>
              <w:t>Excessive face to face daytime training requirement to deliver service.</w:t>
            </w:r>
          </w:p>
          <w:p w14:paraId="32874270" w14:textId="0FD059AB" w:rsidR="002E4863" w:rsidRDefault="00CA55D8" w:rsidP="002E4863">
            <w:r>
              <w:t>NCSCT modules – reasonable requirement.</w:t>
            </w:r>
          </w:p>
        </w:tc>
        <w:tc>
          <w:tcPr>
            <w:tcW w:w="799" w:type="dxa"/>
            <w:shd w:val="clear" w:color="auto" w:fill="FFC000"/>
          </w:tcPr>
          <w:p w14:paraId="2701175F" w14:textId="77777777" w:rsidR="002E4863" w:rsidRDefault="002E4863" w:rsidP="002E4863"/>
        </w:tc>
      </w:tr>
      <w:tr w:rsidR="002E4863" w14:paraId="21CF59AB" w14:textId="27325A9E" w:rsidTr="00CA55D8">
        <w:trPr>
          <w:trHeight w:val="1406"/>
        </w:trPr>
        <w:tc>
          <w:tcPr>
            <w:tcW w:w="2733" w:type="dxa"/>
            <w:gridSpan w:val="3"/>
            <w:vAlign w:val="center"/>
          </w:tcPr>
          <w:p w14:paraId="1DBBBCCD" w14:textId="118B78A9" w:rsidR="002E4863" w:rsidRDefault="002E4863" w:rsidP="002E4863">
            <w:r>
              <w:t>Does record keeping or sharing of information requirements meet current IG regulations.</w:t>
            </w:r>
          </w:p>
        </w:tc>
        <w:tc>
          <w:tcPr>
            <w:tcW w:w="5484" w:type="dxa"/>
            <w:shd w:val="clear" w:color="auto" w:fill="auto"/>
          </w:tcPr>
          <w:p w14:paraId="4646B660" w14:textId="633B0FB3" w:rsidR="002E4863" w:rsidRDefault="00CA55D8" w:rsidP="002E4863">
            <w:r>
              <w:t>Yes</w:t>
            </w:r>
          </w:p>
        </w:tc>
        <w:tc>
          <w:tcPr>
            <w:tcW w:w="799" w:type="dxa"/>
            <w:shd w:val="clear" w:color="auto" w:fill="00B050"/>
          </w:tcPr>
          <w:p w14:paraId="51CB332B" w14:textId="77777777" w:rsidR="002E4863" w:rsidRDefault="002E4863" w:rsidP="002E4863"/>
        </w:tc>
      </w:tr>
      <w:tr w:rsidR="002E4863" w14:paraId="28C19656" w14:textId="31FEA15E" w:rsidTr="00045F43">
        <w:trPr>
          <w:trHeight w:val="579"/>
        </w:trPr>
        <w:tc>
          <w:tcPr>
            <w:tcW w:w="250" w:type="dxa"/>
            <w:tcBorders>
              <w:right w:val="nil"/>
            </w:tcBorders>
            <w:vAlign w:val="center"/>
          </w:tcPr>
          <w:p w14:paraId="2AAFB1F7" w14:textId="77777777" w:rsidR="002E4863" w:rsidRPr="00EA3183" w:rsidRDefault="002E4863" w:rsidP="002E4863">
            <w:pPr>
              <w:jc w:val="center"/>
              <w:rPr>
                <w:sz w:val="28"/>
                <w:szCs w:val="28"/>
              </w:rPr>
            </w:pPr>
          </w:p>
        </w:tc>
        <w:tc>
          <w:tcPr>
            <w:tcW w:w="7967" w:type="dxa"/>
            <w:gridSpan w:val="3"/>
            <w:tcBorders>
              <w:left w:val="nil"/>
            </w:tcBorders>
            <w:vAlign w:val="center"/>
          </w:tcPr>
          <w:p w14:paraId="314B1717" w14:textId="77777777" w:rsidR="002E4863" w:rsidRPr="00EA3183" w:rsidRDefault="002E4863" w:rsidP="002E4863">
            <w:pPr>
              <w:jc w:val="center"/>
              <w:rPr>
                <w:b/>
                <w:sz w:val="28"/>
                <w:szCs w:val="28"/>
              </w:rPr>
            </w:pPr>
            <w:r w:rsidRPr="00EA3183">
              <w:rPr>
                <w:b/>
                <w:sz w:val="28"/>
                <w:szCs w:val="28"/>
              </w:rPr>
              <w:t>Miscellaneous Information</w:t>
            </w:r>
          </w:p>
        </w:tc>
        <w:tc>
          <w:tcPr>
            <w:tcW w:w="799" w:type="dxa"/>
            <w:tcBorders>
              <w:left w:val="nil"/>
            </w:tcBorders>
          </w:tcPr>
          <w:p w14:paraId="10816F9D" w14:textId="77777777" w:rsidR="002E4863" w:rsidRPr="00EA3183" w:rsidRDefault="002E4863" w:rsidP="002E4863">
            <w:pPr>
              <w:jc w:val="center"/>
              <w:rPr>
                <w:b/>
                <w:sz w:val="28"/>
                <w:szCs w:val="28"/>
              </w:rPr>
            </w:pPr>
          </w:p>
        </w:tc>
      </w:tr>
      <w:tr w:rsidR="002E4863" w14:paraId="06521961" w14:textId="69CFFBA3" w:rsidTr="00045F43">
        <w:trPr>
          <w:trHeight w:val="1250"/>
        </w:trPr>
        <w:tc>
          <w:tcPr>
            <w:tcW w:w="2733" w:type="dxa"/>
            <w:gridSpan w:val="3"/>
            <w:vAlign w:val="center"/>
          </w:tcPr>
          <w:p w14:paraId="25B137F0" w14:textId="77777777" w:rsidR="002E4863" w:rsidRDefault="002E4863" w:rsidP="002E4863">
            <w:r>
              <w:t>Any other information specific to this service.</w:t>
            </w:r>
          </w:p>
        </w:tc>
        <w:tc>
          <w:tcPr>
            <w:tcW w:w="5484" w:type="dxa"/>
          </w:tcPr>
          <w:p w14:paraId="5FE8B212" w14:textId="77777777" w:rsidR="002E4863" w:rsidRDefault="00CA55D8" w:rsidP="002E4863">
            <w:r>
              <w:t>Previously graded Amber.</w:t>
            </w:r>
          </w:p>
          <w:p w14:paraId="26C94BDA" w14:textId="77777777" w:rsidR="00CA55D8" w:rsidRDefault="00CA55D8" w:rsidP="002E4863"/>
          <w:p w14:paraId="09650971" w14:textId="77777777" w:rsidR="00CA55D8" w:rsidRDefault="00CA55D8" w:rsidP="002E4863">
            <w:r>
              <w:t>Addition of initial Face to Face training requirement and refresher training.</w:t>
            </w:r>
          </w:p>
          <w:p w14:paraId="08CA84A7" w14:textId="77777777" w:rsidR="00CA55D8" w:rsidRDefault="00CA55D8" w:rsidP="002E4863"/>
          <w:p w14:paraId="0387A859" w14:textId="21A05A4D" w:rsidR="00CA55D8" w:rsidRDefault="00CA55D8" w:rsidP="002E4863">
            <w:r>
              <w:t>CO monitoring currently suspended by NCSCT.</w:t>
            </w:r>
          </w:p>
        </w:tc>
        <w:tc>
          <w:tcPr>
            <w:tcW w:w="799" w:type="dxa"/>
          </w:tcPr>
          <w:p w14:paraId="6AF58629" w14:textId="77777777" w:rsidR="002E4863" w:rsidRDefault="002E4863" w:rsidP="002E4863"/>
        </w:tc>
      </w:tr>
      <w:tr w:rsidR="002E4863" w14:paraId="755419F6" w14:textId="6BD7B556" w:rsidTr="00CA55D8">
        <w:trPr>
          <w:trHeight w:val="575"/>
        </w:trPr>
        <w:tc>
          <w:tcPr>
            <w:tcW w:w="2733" w:type="dxa"/>
            <w:gridSpan w:val="3"/>
            <w:vAlign w:val="center"/>
          </w:tcPr>
          <w:p w14:paraId="39A3225C" w14:textId="48C51CCC" w:rsidR="002E4863" w:rsidRDefault="002E4863" w:rsidP="002E4863">
            <w:r>
              <w:t>Suggested RAG Rating</w:t>
            </w:r>
          </w:p>
        </w:tc>
        <w:tc>
          <w:tcPr>
            <w:tcW w:w="5484" w:type="dxa"/>
            <w:shd w:val="clear" w:color="auto" w:fill="FF0000"/>
          </w:tcPr>
          <w:p w14:paraId="4269F11F" w14:textId="77777777" w:rsidR="002E4863" w:rsidRDefault="002E4863" w:rsidP="002E4863"/>
        </w:tc>
        <w:tc>
          <w:tcPr>
            <w:tcW w:w="799" w:type="dxa"/>
            <w:shd w:val="clear" w:color="auto" w:fill="FF0000"/>
          </w:tcPr>
          <w:p w14:paraId="4D549C5A" w14:textId="77777777" w:rsidR="002E4863" w:rsidRDefault="002E4863" w:rsidP="002E4863"/>
        </w:tc>
      </w:tr>
    </w:tbl>
    <w:p w14:paraId="3674DB31" w14:textId="77777777" w:rsidR="00835D38" w:rsidRDefault="00835D38" w:rsidP="009163F2"/>
    <w:sectPr w:rsidR="00835D38" w:rsidSect="009467A1">
      <w:headerReference w:type="default" r:id="rId9"/>
      <w:pgSz w:w="11906" w:h="16838"/>
      <w:pgMar w:top="1926" w:right="1440" w:bottom="135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97D84" w14:textId="77777777" w:rsidR="00042E24" w:rsidRDefault="00042E24" w:rsidP="00976447">
      <w:pPr>
        <w:spacing w:after="0" w:line="240" w:lineRule="auto"/>
      </w:pPr>
      <w:r>
        <w:separator/>
      </w:r>
    </w:p>
  </w:endnote>
  <w:endnote w:type="continuationSeparator" w:id="0">
    <w:p w14:paraId="44FC3653" w14:textId="77777777" w:rsidR="00042E24" w:rsidRDefault="00042E24" w:rsidP="0097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9ED9E" w14:textId="77777777" w:rsidR="00042E24" w:rsidRDefault="00042E24" w:rsidP="00976447">
      <w:pPr>
        <w:spacing w:after="0" w:line="240" w:lineRule="auto"/>
      </w:pPr>
      <w:r>
        <w:separator/>
      </w:r>
    </w:p>
  </w:footnote>
  <w:footnote w:type="continuationSeparator" w:id="0">
    <w:p w14:paraId="70F4B045" w14:textId="77777777" w:rsidR="00042E24" w:rsidRDefault="00042E24" w:rsidP="00976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32"/>
        <w:szCs w:val="32"/>
      </w:rPr>
      <w:alias w:val="Title"/>
      <w:id w:val="621175081"/>
      <w:placeholder>
        <w:docPart w:val="D54CA62D9F744CB992589E1994BC4B52"/>
      </w:placeholder>
      <w:dataBinding w:prefixMappings="xmlns:ns0='http://schemas.openxmlformats.org/package/2006/metadata/core-properties' xmlns:ns1='http://purl.org/dc/elements/1.1/'" w:xpath="/ns0:coreProperties[1]/ns1:title[1]" w:storeItemID="{6C3C8BC8-F283-45AE-878A-BAB7291924A1}"/>
      <w:text/>
    </w:sdtPr>
    <w:sdtEndPr/>
    <w:sdtContent>
      <w:p w14:paraId="2E1E0C89" w14:textId="23FDF8AD" w:rsidR="00976447" w:rsidRDefault="001B06E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CPSC</w:t>
        </w:r>
        <w:r w:rsidR="00976447">
          <w:rPr>
            <w:rFonts w:asciiTheme="majorHAnsi" w:eastAsiaTheme="majorEastAsia" w:hAnsiTheme="majorHAnsi" w:cstheme="majorBidi"/>
            <w:sz w:val="32"/>
            <w:szCs w:val="32"/>
          </w:rPr>
          <w:t xml:space="preserve"> Service Specification Checklist</w:t>
        </w:r>
      </w:p>
    </w:sdtContent>
  </w:sdt>
  <w:p w14:paraId="51D3A63B" w14:textId="77777777" w:rsidR="00976447" w:rsidRDefault="00976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022479"/>
    <w:multiLevelType w:val="hybridMultilevel"/>
    <w:tmpl w:val="EEDE3A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5C4B67"/>
    <w:multiLevelType w:val="hybridMultilevel"/>
    <w:tmpl w:val="FE860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295951"/>
    <w:multiLevelType w:val="hybridMultilevel"/>
    <w:tmpl w:val="75D616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1D2463"/>
    <w:multiLevelType w:val="hybridMultilevel"/>
    <w:tmpl w:val="34AE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160848"/>
    <w:multiLevelType w:val="hybridMultilevel"/>
    <w:tmpl w:val="D45EC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447"/>
    <w:rsid w:val="00042E24"/>
    <w:rsid w:val="00045F43"/>
    <w:rsid w:val="0007423A"/>
    <w:rsid w:val="000A34AA"/>
    <w:rsid w:val="000C0217"/>
    <w:rsid w:val="000D39CA"/>
    <w:rsid w:val="000D51A7"/>
    <w:rsid w:val="000D6178"/>
    <w:rsid w:val="000F4BE3"/>
    <w:rsid w:val="00100477"/>
    <w:rsid w:val="00120B8B"/>
    <w:rsid w:val="001404CF"/>
    <w:rsid w:val="001535B4"/>
    <w:rsid w:val="0016467C"/>
    <w:rsid w:val="001879AF"/>
    <w:rsid w:val="001B06EC"/>
    <w:rsid w:val="00244002"/>
    <w:rsid w:val="0028001F"/>
    <w:rsid w:val="002851C4"/>
    <w:rsid w:val="002A4146"/>
    <w:rsid w:val="002E4863"/>
    <w:rsid w:val="00332C98"/>
    <w:rsid w:val="003876C0"/>
    <w:rsid w:val="003F40A2"/>
    <w:rsid w:val="0041049D"/>
    <w:rsid w:val="00460CB9"/>
    <w:rsid w:val="004A4DA0"/>
    <w:rsid w:val="004B0D0D"/>
    <w:rsid w:val="004B345B"/>
    <w:rsid w:val="004F2991"/>
    <w:rsid w:val="0053198F"/>
    <w:rsid w:val="005622DD"/>
    <w:rsid w:val="005859B7"/>
    <w:rsid w:val="005A1E13"/>
    <w:rsid w:val="005B08F0"/>
    <w:rsid w:val="005F25A9"/>
    <w:rsid w:val="00612645"/>
    <w:rsid w:val="00643981"/>
    <w:rsid w:val="00674853"/>
    <w:rsid w:val="0068698C"/>
    <w:rsid w:val="00697410"/>
    <w:rsid w:val="006A4876"/>
    <w:rsid w:val="006A7667"/>
    <w:rsid w:val="006B2BB8"/>
    <w:rsid w:val="00701CFA"/>
    <w:rsid w:val="0073541F"/>
    <w:rsid w:val="00742AAF"/>
    <w:rsid w:val="00744D71"/>
    <w:rsid w:val="00771CB7"/>
    <w:rsid w:val="00790210"/>
    <w:rsid w:val="007D5A8A"/>
    <w:rsid w:val="007E0BB9"/>
    <w:rsid w:val="007F001C"/>
    <w:rsid w:val="008138B5"/>
    <w:rsid w:val="00835D38"/>
    <w:rsid w:val="00862910"/>
    <w:rsid w:val="008A3C57"/>
    <w:rsid w:val="008C4D51"/>
    <w:rsid w:val="008D5CB8"/>
    <w:rsid w:val="008F22ED"/>
    <w:rsid w:val="00907ABE"/>
    <w:rsid w:val="009163F2"/>
    <w:rsid w:val="00935A10"/>
    <w:rsid w:val="009467A1"/>
    <w:rsid w:val="00976447"/>
    <w:rsid w:val="009863B1"/>
    <w:rsid w:val="00996E1D"/>
    <w:rsid w:val="009A4336"/>
    <w:rsid w:val="00A0305C"/>
    <w:rsid w:val="00A10574"/>
    <w:rsid w:val="00A46B9D"/>
    <w:rsid w:val="00A60403"/>
    <w:rsid w:val="00A60449"/>
    <w:rsid w:val="00A70906"/>
    <w:rsid w:val="00A81782"/>
    <w:rsid w:val="00A8629B"/>
    <w:rsid w:val="00A92A98"/>
    <w:rsid w:val="00AA6E8D"/>
    <w:rsid w:val="00AC2ACA"/>
    <w:rsid w:val="00AC31A4"/>
    <w:rsid w:val="00AF2E5C"/>
    <w:rsid w:val="00B27B12"/>
    <w:rsid w:val="00B3219E"/>
    <w:rsid w:val="00B3755A"/>
    <w:rsid w:val="00B511A9"/>
    <w:rsid w:val="00BA142A"/>
    <w:rsid w:val="00C231AC"/>
    <w:rsid w:val="00C8050F"/>
    <w:rsid w:val="00CA55D8"/>
    <w:rsid w:val="00CA6F7B"/>
    <w:rsid w:val="00CA780A"/>
    <w:rsid w:val="00CD5FA8"/>
    <w:rsid w:val="00CE5827"/>
    <w:rsid w:val="00CF09FC"/>
    <w:rsid w:val="00CF5535"/>
    <w:rsid w:val="00D01E8F"/>
    <w:rsid w:val="00D24915"/>
    <w:rsid w:val="00D56752"/>
    <w:rsid w:val="00D86168"/>
    <w:rsid w:val="00DA6A3F"/>
    <w:rsid w:val="00DB403D"/>
    <w:rsid w:val="00DC68B2"/>
    <w:rsid w:val="00DD6A9B"/>
    <w:rsid w:val="00DE4DBE"/>
    <w:rsid w:val="00DF6367"/>
    <w:rsid w:val="00E12F94"/>
    <w:rsid w:val="00E17E31"/>
    <w:rsid w:val="00E220A4"/>
    <w:rsid w:val="00E46D93"/>
    <w:rsid w:val="00E62A33"/>
    <w:rsid w:val="00E82621"/>
    <w:rsid w:val="00E8310F"/>
    <w:rsid w:val="00E90D5D"/>
    <w:rsid w:val="00EA3183"/>
    <w:rsid w:val="00EA42B3"/>
    <w:rsid w:val="00ED6AAF"/>
    <w:rsid w:val="00EF07DA"/>
    <w:rsid w:val="00F02A57"/>
    <w:rsid w:val="00F063FE"/>
    <w:rsid w:val="00F1435C"/>
    <w:rsid w:val="00F259B9"/>
    <w:rsid w:val="00F36A8C"/>
    <w:rsid w:val="00F46C00"/>
    <w:rsid w:val="00F804E5"/>
    <w:rsid w:val="00F901A7"/>
    <w:rsid w:val="00F91BB1"/>
    <w:rsid w:val="00F92359"/>
    <w:rsid w:val="00FC6D35"/>
    <w:rsid w:val="00FE6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63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447"/>
  </w:style>
  <w:style w:type="paragraph" w:styleId="Footer">
    <w:name w:val="footer"/>
    <w:basedOn w:val="Normal"/>
    <w:link w:val="FooterChar"/>
    <w:uiPriority w:val="99"/>
    <w:unhideWhenUsed/>
    <w:rsid w:val="00976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447"/>
  </w:style>
  <w:style w:type="paragraph" w:styleId="BalloonText">
    <w:name w:val="Balloon Text"/>
    <w:basedOn w:val="Normal"/>
    <w:link w:val="BalloonTextChar"/>
    <w:uiPriority w:val="99"/>
    <w:semiHidden/>
    <w:unhideWhenUsed/>
    <w:rsid w:val="00976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447"/>
    <w:rPr>
      <w:rFonts w:ascii="Tahoma" w:hAnsi="Tahoma" w:cs="Tahoma"/>
      <w:sz w:val="16"/>
      <w:szCs w:val="16"/>
    </w:rPr>
  </w:style>
  <w:style w:type="table" w:styleId="TableGrid">
    <w:name w:val="Table Grid"/>
    <w:basedOn w:val="TableNormal"/>
    <w:uiPriority w:val="59"/>
    <w:rsid w:val="00460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6A3F"/>
    <w:rPr>
      <w:color w:val="0000FF" w:themeColor="hyperlink"/>
      <w:u w:val="single"/>
    </w:rPr>
  </w:style>
  <w:style w:type="character" w:styleId="FollowedHyperlink">
    <w:name w:val="FollowedHyperlink"/>
    <w:basedOn w:val="DefaultParagraphFont"/>
    <w:uiPriority w:val="99"/>
    <w:semiHidden/>
    <w:unhideWhenUsed/>
    <w:rsid w:val="00DA6A3F"/>
    <w:rPr>
      <w:color w:val="800080" w:themeColor="followedHyperlink"/>
      <w:u w:val="single"/>
    </w:rPr>
  </w:style>
  <w:style w:type="paragraph" w:styleId="NoSpacing">
    <w:name w:val="No Spacing"/>
    <w:uiPriority w:val="1"/>
    <w:qFormat/>
    <w:rsid w:val="00B3219E"/>
    <w:pPr>
      <w:spacing w:after="0" w:line="240" w:lineRule="auto"/>
    </w:p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EA42B3"/>
    <w:pPr>
      <w:ind w:left="720"/>
      <w:contextualSpacing/>
    </w:pPr>
  </w:style>
  <w:style w:type="character" w:customStyle="1" w:styleId="UnresolvedMention1">
    <w:name w:val="Unresolved Mention1"/>
    <w:basedOn w:val="DefaultParagraphFont"/>
    <w:uiPriority w:val="99"/>
    <w:rsid w:val="001B06EC"/>
    <w:rPr>
      <w:color w:val="808080"/>
      <w:shd w:val="clear" w:color="auto" w:fill="E6E6E6"/>
    </w:rPr>
  </w:style>
  <w:style w:type="character" w:customStyle="1" w:styleId="apple-converted-space">
    <w:name w:val="apple-converted-space"/>
    <w:basedOn w:val="DefaultParagraphFont"/>
    <w:rsid w:val="00790210"/>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locked/>
    <w:rsid w:val="00CA7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son.freemantle@cps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54CA62D9F744CB992589E1994BC4B52"/>
        <w:category>
          <w:name w:val="General"/>
          <w:gallery w:val="placeholder"/>
        </w:category>
        <w:types>
          <w:type w:val="bbPlcHdr"/>
        </w:types>
        <w:behaviors>
          <w:behavior w:val="content"/>
        </w:behaviors>
        <w:guid w:val="{28F13A55-E602-4139-B0C5-0CEF0E01705F}"/>
      </w:docPartPr>
      <w:docPartBody>
        <w:p w:rsidR="001518A5" w:rsidRDefault="006C29D5" w:rsidP="006C29D5">
          <w:pPr>
            <w:pStyle w:val="D54CA62D9F744CB992589E1994BC4B5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C29D5"/>
    <w:rsid w:val="000C7DE3"/>
    <w:rsid w:val="001518A5"/>
    <w:rsid w:val="001E57DA"/>
    <w:rsid w:val="0022327C"/>
    <w:rsid w:val="00224ECB"/>
    <w:rsid w:val="0022656D"/>
    <w:rsid w:val="0037538B"/>
    <w:rsid w:val="00435F78"/>
    <w:rsid w:val="005C5096"/>
    <w:rsid w:val="00611F4C"/>
    <w:rsid w:val="00662075"/>
    <w:rsid w:val="006903CA"/>
    <w:rsid w:val="006C29D5"/>
    <w:rsid w:val="00757C33"/>
    <w:rsid w:val="0078091B"/>
    <w:rsid w:val="00814374"/>
    <w:rsid w:val="008D082A"/>
    <w:rsid w:val="00920ADB"/>
    <w:rsid w:val="009C08D5"/>
    <w:rsid w:val="009C475E"/>
    <w:rsid w:val="00A9210F"/>
    <w:rsid w:val="00B85C87"/>
    <w:rsid w:val="00BC5D1E"/>
    <w:rsid w:val="00BE002D"/>
    <w:rsid w:val="00BE5435"/>
    <w:rsid w:val="00BE79E2"/>
    <w:rsid w:val="00C57FAF"/>
    <w:rsid w:val="00CD53A4"/>
    <w:rsid w:val="00E44B78"/>
    <w:rsid w:val="00E7365B"/>
    <w:rsid w:val="00F30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4CA62D9F744CB992589E1994BC4B52">
    <w:name w:val="D54CA62D9F744CB992589E1994BC4B52"/>
    <w:rsid w:val="006C2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7CB43D4-804D-426F-8D91-6B49C3DC7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876</Words>
  <Characters>4996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CPSC Service Specification Checklist</vt:lpstr>
    </vt:vector>
  </TitlesOfParts>
  <Company>Rowlands Pharmacy</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CPSC Service Specification Checklist</dc:title>
  <dc:subject/>
  <dc:creator>Retail IT</dc:creator>
  <cp:keywords/>
  <dc:description/>
  <cp:lastModifiedBy>Alison Freemantle</cp:lastModifiedBy>
  <cp:revision>2</cp:revision>
  <dcterms:created xsi:type="dcterms:W3CDTF">2021-03-10T15:20:00Z</dcterms:created>
  <dcterms:modified xsi:type="dcterms:W3CDTF">2021-03-10T15:20:00Z</dcterms:modified>
</cp:coreProperties>
</file>