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5AFFA" w14:textId="2CB63203" w:rsidR="00FF7ED1" w:rsidRDefault="00875A5C">
      <w:r>
        <w:t>Isle of Wight Urgent Supply and Pharmacy First diagram 2020</w:t>
      </w:r>
      <w:r>
        <w:rPr>
          <w:noProof/>
          <w:lang w:eastAsia="en-GB"/>
        </w:rPr>
        <w:drawing>
          <wp:inline distT="0" distB="0" distL="0" distR="0" wp14:anchorId="1F1FA982" wp14:editId="2F22D137">
            <wp:extent cx="8621672" cy="529721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1623" cy="535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ED1" w:rsidSect="00875A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5C"/>
    <w:rsid w:val="00875A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DD4E"/>
  <w15:chartTrackingRefBased/>
  <w15:docId w15:val="{FC841FF0-647D-40BC-B986-A593F16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2020-10-14T13:28:00Z</dcterms:created>
  <dcterms:modified xsi:type="dcterms:W3CDTF">2020-10-14T13:31:00Z</dcterms:modified>
</cp:coreProperties>
</file>