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F81B97">
                          <w:rPr>
                            <w:noProof/>
                          </w:rPr>
                          <w:fldChar w:fldCharType="begin"/>
                        </w:r>
                        <w:r w:rsidR="00F81B97">
                          <w:rPr>
                            <w:noProof/>
                          </w:rPr>
                          <w:instrText xml:space="preserve"> INCLUDEPICTURE  "/var/folders/zq/_hgbfm5j5m929nsq7yq0snt00000gn/T/com.microsoft.Word/WebArchiveCopyPasteTempFiles/001d399a-96a4-4e1f-b905-a21d530b5d29.jpg" \* MERGEFORMATINET </w:instrText>
                        </w:r>
                        <w:r w:rsidR="00F81B97">
                          <w:rPr>
                            <w:noProof/>
                          </w:rPr>
                          <w:fldChar w:fldCharType="separate"/>
                        </w:r>
                        <w:r w:rsidR="0065358D">
                          <w:rPr>
                            <w:noProof/>
                          </w:rPr>
                          <w:fldChar w:fldCharType="begin"/>
                        </w:r>
                        <w:r w:rsidR="0065358D">
                          <w:rPr>
                            <w:noProof/>
                          </w:rPr>
                          <w:instrText xml:space="preserve"> </w:instrText>
                        </w:r>
                        <w:r w:rsidR="0065358D">
                          <w:rPr>
                            <w:noProof/>
                          </w:rPr>
                          <w:instrText>INCLUDEPICTURE  "/var/folders/zq/_hgbfm5j5m929n</w:instrText>
                        </w:r>
                        <w:r w:rsidR="0065358D">
                          <w:rPr>
                            <w:noProof/>
                          </w:rPr>
                          <w:instrText>sq7yq0snt00000gn/T/com.microsoft.Word/WebArchiveCopyPasteTempFiles/001d399a-96a4-4e1f-b905-a21d530b5d29.jpg" \* MERGEFORMATINET</w:instrText>
                        </w:r>
                        <w:r w:rsidR="0065358D">
                          <w:rPr>
                            <w:noProof/>
                          </w:rPr>
                          <w:instrText xml:space="preserve"> </w:instrText>
                        </w:r>
                        <w:r w:rsidR="0065358D">
                          <w:rPr>
                            <w:noProof/>
                          </w:rPr>
                          <w:fldChar w:fldCharType="separate"/>
                        </w:r>
                        <w:r w:rsidR="0065358D">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8pt;height:70pt;mso-width-percent:0;mso-height-percent:0;mso-width-percent:0;mso-height-percent:0">
                              <v:imagedata r:id="rId5" r:href="rId6"/>
                            </v:shape>
                          </w:pict>
                        </w:r>
                        <w:r w:rsidR="0065358D">
                          <w:rPr>
                            <w:noProof/>
                          </w:rPr>
                          <w:fldChar w:fldCharType="end"/>
                        </w:r>
                        <w:r w:rsidR="00F81B97">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2AC6D202" w:rsidR="002F42A7" w:rsidRPr="00DE6A3B" w:rsidRDefault="00071CFB"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Thur</w:t>
                        </w:r>
                        <w:r w:rsidR="00F32C8D">
                          <w:rPr>
                            <w:rFonts w:ascii="Tahoma" w:hAnsi="Tahoma" w:cs="Tahoma"/>
                            <w:color w:val="93378A"/>
                            <w:sz w:val="30"/>
                            <w:szCs w:val="30"/>
                          </w:rPr>
                          <w:t>s</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sidR="00326D98">
                          <w:rPr>
                            <w:rFonts w:ascii="Tahoma" w:hAnsi="Tahoma" w:cs="Tahoma"/>
                            <w:color w:val="93378A"/>
                            <w:sz w:val="30"/>
                            <w:szCs w:val="30"/>
                          </w:rPr>
                          <w:t>1</w:t>
                        </w:r>
                        <w:r>
                          <w:rPr>
                            <w:rFonts w:ascii="Tahoma" w:hAnsi="Tahoma" w:cs="Tahoma"/>
                            <w:color w:val="93378A"/>
                            <w:sz w:val="30"/>
                            <w:szCs w:val="30"/>
                          </w:rPr>
                          <w:t>5</w:t>
                        </w:r>
                        <w:r w:rsidR="00A734A1" w:rsidRPr="00A734A1">
                          <w:rPr>
                            <w:rFonts w:ascii="Tahoma" w:hAnsi="Tahoma" w:cs="Tahoma"/>
                            <w:color w:val="93378A"/>
                            <w:sz w:val="30"/>
                            <w:szCs w:val="30"/>
                            <w:vertAlign w:val="superscript"/>
                          </w:rPr>
                          <w:t>t</w:t>
                        </w:r>
                        <w:r w:rsidR="00326D98">
                          <w:rPr>
                            <w:rFonts w:ascii="Tahoma" w:hAnsi="Tahoma" w:cs="Tahoma"/>
                            <w:color w:val="93378A"/>
                            <w:sz w:val="30"/>
                            <w:szCs w:val="30"/>
                            <w:vertAlign w:val="superscript"/>
                          </w:rPr>
                          <w:t>h</w:t>
                        </w:r>
                        <w:r w:rsidR="002F42A7" w:rsidRPr="00DE6A3B">
                          <w:rPr>
                            <w:rFonts w:ascii="Tahoma" w:hAnsi="Tahoma" w:cs="Tahoma"/>
                            <w:color w:val="93378A"/>
                            <w:sz w:val="30"/>
                            <w:szCs w:val="30"/>
                          </w:rPr>
                          <w:t xml:space="preserve"> </w:t>
                        </w:r>
                        <w:r w:rsidR="006971BB">
                          <w:rPr>
                            <w:rFonts w:ascii="Tahoma" w:hAnsi="Tahoma" w:cs="Tahoma"/>
                            <w:color w:val="93378A"/>
                            <w:sz w:val="30"/>
                            <w:szCs w:val="30"/>
                          </w:rPr>
                          <w:t xml:space="preserve">April </w:t>
                        </w:r>
                        <w:r w:rsidR="002F42A7" w:rsidRPr="00DE6A3B">
                          <w:rPr>
                            <w:rFonts w:ascii="Tahoma" w:hAnsi="Tahoma" w:cs="Tahoma"/>
                            <w:color w:val="93378A"/>
                            <w:sz w:val="30"/>
                            <w:szCs w:val="30"/>
                          </w:rPr>
                          <w:t>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F81B97">
                    <w:rPr>
                      <w:rFonts w:ascii="Helvetica" w:hAnsi="Helvetica"/>
                      <w:noProof/>
                      <w:color w:val="000000"/>
                      <w:sz w:val="18"/>
                      <w:szCs w:val="18"/>
                    </w:rPr>
                    <w:fldChar w:fldCharType="begin"/>
                  </w:r>
                  <w:r w:rsidR="00F81B9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81B97">
                    <w:rPr>
                      <w:rFonts w:ascii="Helvetica" w:hAnsi="Helvetica"/>
                      <w:noProof/>
                      <w:color w:val="000000"/>
                      <w:sz w:val="18"/>
                      <w:szCs w:val="18"/>
                    </w:rPr>
                    <w:fldChar w:fldCharType="separate"/>
                  </w:r>
                  <w:r w:rsidR="0065358D">
                    <w:rPr>
                      <w:rFonts w:ascii="Helvetica" w:hAnsi="Helvetica"/>
                      <w:noProof/>
                      <w:color w:val="000000"/>
                      <w:sz w:val="18"/>
                      <w:szCs w:val="18"/>
                    </w:rPr>
                    <w:fldChar w:fldCharType="begin"/>
                  </w:r>
                  <w:r w:rsidR="0065358D">
                    <w:rPr>
                      <w:rFonts w:ascii="Helvetica" w:hAnsi="Helvetica"/>
                      <w:noProof/>
                      <w:color w:val="000000"/>
                      <w:sz w:val="18"/>
                      <w:szCs w:val="18"/>
                    </w:rPr>
                    <w:instrText xml:space="preserve"> </w:instrText>
                  </w:r>
                  <w:r w:rsidR="0065358D">
                    <w:rPr>
                      <w:rFonts w:ascii="Helvetica" w:hAnsi="Helvetica"/>
                      <w:noProof/>
                      <w:color w:val="000000"/>
                      <w:sz w:val="18"/>
                      <w:szCs w:val="18"/>
                    </w:rPr>
                    <w:instrText>INCLUDEPICTURE  "/var/folders/zq/_hgbfm5j5m929nsq7yq0snt00000gn/T/com.microsoft.Word/WebArchiveCopyPasteTempFiles/Newsletter-style-bar.png" \* MERGEFORMATINET</w:instrText>
                  </w:r>
                  <w:r w:rsidR="0065358D">
                    <w:rPr>
                      <w:rFonts w:ascii="Helvetica" w:hAnsi="Helvetica"/>
                      <w:noProof/>
                      <w:color w:val="000000"/>
                      <w:sz w:val="18"/>
                      <w:szCs w:val="18"/>
                    </w:rPr>
                    <w:instrText xml:space="preserve"> </w:instrText>
                  </w:r>
                  <w:r w:rsidR="0065358D">
                    <w:rPr>
                      <w:rFonts w:ascii="Helvetica" w:hAnsi="Helvetica"/>
                      <w:noProof/>
                      <w:color w:val="000000"/>
                      <w:sz w:val="18"/>
                      <w:szCs w:val="18"/>
                    </w:rPr>
                    <w:fldChar w:fldCharType="separate"/>
                  </w:r>
                  <w:r w:rsidR="0065358D">
                    <w:rPr>
                      <w:rFonts w:ascii="Helvetica" w:hAnsi="Helvetica"/>
                      <w:noProof/>
                      <w:color w:val="000000"/>
                      <w:sz w:val="18"/>
                      <w:szCs w:val="18"/>
                    </w:rPr>
                    <w:pict w14:anchorId="678A794D">
                      <v:shape id="_x0000_i1026" type="#_x0000_t75" alt="" style="width:600pt;height:22pt;mso-width-percent:0;mso-height-percent:0;mso-width-percent:0;mso-height-percent:0">
                        <v:imagedata r:id="rId7" r:href="rId8"/>
                      </v:shape>
                    </w:pict>
                  </w:r>
                  <w:r w:rsidR="0065358D">
                    <w:rPr>
                      <w:rFonts w:ascii="Helvetica" w:hAnsi="Helvetica"/>
                      <w:noProof/>
                      <w:color w:val="000000"/>
                      <w:sz w:val="18"/>
                      <w:szCs w:val="18"/>
                    </w:rPr>
                    <w:fldChar w:fldCharType="end"/>
                  </w:r>
                  <w:r w:rsidR="00F81B97">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51"/>
                    <w:gridCol w:w="8918"/>
                    <w:gridCol w:w="51"/>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65358D" w:rsidP="002907F7">
                        <w:pPr>
                          <w:rPr>
                            <w:rFonts w:ascii="Times New Roman" w:hAnsi="Times New Roman" w:cs="Times New Roman"/>
                          </w:rPr>
                        </w:pPr>
                        <w:r>
                          <w:rPr>
                            <w:noProof/>
                          </w:rPr>
                          <w:pict w14:anchorId="2BE0C096">
                            <v:rect id="_x0000_i1025" alt="" style="width:348.65pt;height:.05pt;mso-width-percent:0;mso-height-percent:0;mso-width-percent:0;mso-height-percent:0" o:hrpct="745" o:hrstd="t" o:hrnoshade="t" o:hr="t" fillcolor="#303030" stroked="f"/>
                          </w:pict>
                        </w:r>
                      </w:p>
                      <w:p w14:paraId="43B0D4DC" w14:textId="77777777" w:rsidR="00674355" w:rsidRDefault="00674355" w:rsidP="002907F7">
                        <w:pPr>
                          <w:pStyle w:val="Heading2"/>
                          <w:spacing w:before="0" w:beforeAutospacing="0" w:after="75" w:afterAutospacing="0" w:line="330" w:lineRule="atLeast"/>
                          <w:rPr>
                            <w:rFonts w:ascii="Tahoma" w:hAnsi="Tahoma" w:cs="Tahoma"/>
                            <w:color w:val="4E3487"/>
                            <w:sz w:val="30"/>
                            <w:szCs w:val="30"/>
                          </w:rPr>
                        </w:pPr>
                      </w:p>
                      <w:tbl>
                        <w:tblPr>
                          <w:tblW w:w="9000" w:type="dxa"/>
                          <w:jc w:val="center"/>
                          <w:tblCellSpacing w:w="15" w:type="dxa"/>
                          <w:tblCellMar>
                            <w:left w:w="0" w:type="dxa"/>
                            <w:right w:w="0" w:type="dxa"/>
                          </w:tblCellMar>
                          <w:tblLook w:val="04A0" w:firstRow="1" w:lastRow="0" w:firstColumn="1" w:lastColumn="0" w:noHBand="0" w:noVBand="1"/>
                        </w:tblPr>
                        <w:tblGrid>
                          <w:gridCol w:w="9000"/>
                        </w:tblGrid>
                        <w:tr w:rsidR="00071CFB" w14:paraId="76D49C8D" w14:textId="77777777" w:rsidTr="00071CFB">
                          <w:trPr>
                            <w:tblCellSpacing w:w="15" w:type="dxa"/>
                            <w:jc w:val="center"/>
                          </w:trPr>
                          <w:tc>
                            <w:tcPr>
                              <w:tcW w:w="8700" w:type="dxa"/>
                              <w:vAlign w:val="center"/>
                              <w:hideMark/>
                            </w:tcPr>
                            <w:p w14:paraId="711C1031" w14:textId="77777777" w:rsidR="00071CFB" w:rsidRDefault="00071CFB" w:rsidP="00071CFB">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C-19 test distribution service: clarification of data submission; pharmacist and GP collaboration study; cancer communication e-learning. </w:t>
                              </w:r>
                            </w:p>
                            <w:p w14:paraId="5CA621C8" w14:textId="77777777" w:rsidR="00071CFB" w:rsidRPr="00071CFB" w:rsidRDefault="00071CFB" w:rsidP="00071CFB">
                              <w:pPr>
                                <w:pStyle w:val="Heading3"/>
                                <w:spacing w:before="0" w:after="75" w:line="297" w:lineRule="atLeast"/>
                                <w:rPr>
                                  <w:rFonts w:ascii="Tahoma" w:hAnsi="Tahoma" w:cs="Tahoma"/>
                                  <w:b/>
                                  <w:bCs/>
                                  <w:color w:val="4E3487"/>
                                  <w:sz w:val="27"/>
                                  <w:szCs w:val="27"/>
                                </w:rPr>
                              </w:pPr>
                              <w:r>
                                <w:rPr>
                                  <w:rFonts w:ascii="Tahoma" w:hAnsi="Tahoma" w:cs="Tahoma"/>
                                  <w:color w:val="4E3487"/>
                                </w:rPr>
                                <w:br/>
                              </w:r>
                              <w:r w:rsidRPr="00071CFB">
                                <w:rPr>
                                  <w:rFonts w:ascii="Tahoma" w:hAnsi="Tahoma" w:cs="Tahoma"/>
                                  <w:b/>
                                  <w:bCs/>
                                  <w:color w:val="4E3487"/>
                                  <w:sz w:val="28"/>
                                  <w:szCs w:val="28"/>
                                </w:rPr>
                                <w:t>C-19 test distribution service: important clarification of data submission requirements</w:t>
                              </w:r>
                            </w:p>
                            <w:p w14:paraId="6C6AEAC4" w14:textId="77777777" w:rsidR="00071CFB" w:rsidRDefault="00071CFB" w:rsidP="00071CFB">
                              <w:pPr>
                                <w:spacing w:line="231" w:lineRule="atLeast"/>
                                <w:jc w:val="both"/>
                                <w:rPr>
                                  <w:rFonts w:ascii="Tahoma" w:hAnsi="Tahoma" w:cs="Tahoma"/>
                                  <w:color w:val="303030"/>
                                  <w:sz w:val="21"/>
                                  <w:szCs w:val="21"/>
                                </w:rPr>
                              </w:pPr>
                              <w:r>
                                <w:rPr>
                                  <w:rFonts w:ascii="Tahoma" w:hAnsi="Tahoma" w:cs="Tahoma"/>
                                  <w:color w:val="303030"/>
                                  <w:sz w:val="21"/>
                                  <w:szCs w:val="21"/>
                                </w:rPr>
                                <w:t> </w:t>
                              </w:r>
                            </w:p>
                            <w:p w14:paraId="5CBD5DBC" w14:textId="77777777" w:rsidR="00071CFB" w:rsidRDefault="00071CFB" w:rsidP="00071CFB">
                              <w:pPr>
                                <w:spacing w:line="231" w:lineRule="atLeast"/>
                                <w:jc w:val="both"/>
                                <w:rPr>
                                  <w:rFonts w:ascii="Tahoma" w:hAnsi="Tahoma" w:cs="Tahoma"/>
                                  <w:color w:val="303030"/>
                                  <w:sz w:val="21"/>
                                  <w:szCs w:val="21"/>
                                </w:rPr>
                              </w:pPr>
                              <w:r>
                                <w:rPr>
                                  <w:rFonts w:ascii="Tahoma" w:hAnsi="Tahoma" w:cs="Tahoma"/>
                                  <w:color w:val="303030"/>
                                  <w:sz w:val="21"/>
                                  <w:szCs w:val="21"/>
                                </w:rPr>
                                <w:t>Pharmacies participating in the NHS community pharmacy C-19 lateral flow device distribution service (or ‘Pharmacy Collect’) are required to make records related to the stock received from wholesalers and the supply of test kits to members of the public. These records also have to be entered into the</w:t>
                              </w:r>
                              <w:r>
                                <w:rPr>
                                  <w:rStyle w:val="apple-converted-space"/>
                                  <w:rFonts w:ascii="Tahoma" w:hAnsi="Tahoma" w:cs="Tahoma"/>
                                  <w:color w:val="303030"/>
                                  <w:sz w:val="21"/>
                                  <w:szCs w:val="21"/>
                                </w:rPr>
                                <w:t> </w:t>
                              </w:r>
                              <w:r>
                                <w:rPr>
                                  <w:rStyle w:val="Strong"/>
                                  <w:rFonts w:ascii="Tahoma" w:hAnsi="Tahoma" w:cs="Tahoma"/>
                                  <w:color w:val="303030"/>
                                  <w:sz w:val="21"/>
                                  <w:szCs w:val="21"/>
                                </w:rPr>
                                <w:t>NHS Business Services Authority’s (NHSBSA's) </w:t>
                              </w:r>
                              <w:hyperlink r:id="rId9" w:tgtFrame="_blank" w:history="1">
                                <w:r>
                                  <w:rPr>
                                    <w:rStyle w:val="Hyperlink"/>
                                    <w:rFonts w:ascii="Tahoma" w:hAnsi="Tahoma" w:cs="Tahoma"/>
                                    <w:b/>
                                    <w:bCs/>
                                    <w:color w:val="4E3487"/>
                                    <w:sz w:val="21"/>
                                    <w:szCs w:val="21"/>
                                  </w:rPr>
                                  <w:t>Manage Your Service (MYS) portal</w:t>
                                </w:r>
                              </w:hyperlink>
                              <w:r>
                                <w:rPr>
                                  <w:rFonts w:ascii="Tahoma" w:hAnsi="Tahoma" w:cs="Tahoma"/>
                                  <w:color w:val="303030"/>
                                  <w:sz w:val="21"/>
                                  <w:szCs w:val="21"/>
                                </w:rPr>
                                <w:t> by the close of business on the pharmacy’s last trading day of the week. </w:t>
                              </w:r>
                            </w:p>
                            <w:p w14:paraId="67C1CAF0" w14:textId="77777777" w:rsidR="00071CFB" w:rsidRDefault="00071CFB" w:rsidP="00071CFB">
                              <w:pPr>
                                <w:pStyle w:val="NormalWeb"/>
                                <w:spacing w:line="231" w:lineRule="atLeast"/>
                                <w:jc w:val="both"/>
                                <w:rPr>
                                  <w:rFonts w:ascii="Tahoma" w:hAnsi="Tahoma" w:cs="Tahoma"/>
                                  <w:color w:val="303030"/>
                                  <w:sz w:val="21"/>
                                  <w:szCs w:val="21"/>
                                </w:rPr>
                              </w:pPr>
                              <w:r>
                                <w:rPr>
                                  <w:rFonts w:ascii="Tahoma" w:hAnsi="Tahoma" w:cs="Tahoma"/>
                                  <w:color w:val="303030"/>
                                  <w:sz w:val="21"/>
                                  <w:szCs w:val="21"/>
                                </w:rPr>
                                <w:t>Following some initial misunderstandings surrounding the data needing to be entered into MYS, contractors have today been advised to: </w:t>
                              </w:r>
                            </w:p>
                            <w:p w14:paraId="10934AA2" w14:textId="77777777" w:rsidR="00071CFB" w:rsidRDefault="00071CFB" w:rsidP="00071CFB">
                              <w:pPr>
                                <w:numPr>
                                  <w:ilvl w:val="0"/>
                                  <w:numId w:val="29"/>
                                </w:numPr>
                                <w:spacing w:before="100" w:beforeAutospacing="1" w:after="100" w:afterAutospacing="1" w:line="231" w:lineRule="atLeast"/>
                                <w:jc w:val="both"/>
                                <w:rPr>
                                  <w:rFonts w:ascii="Tahoma" w:hAnsi="Tahoma" w:cs="Tahoma"/>
                                  <w:color w:val="303030"/>
                                  <w:sz w:val="21"/>
                                  <w:szCs w:val="21"/>
                                </w:rPr>
                              </w:pPr>
                              <w:hyperlink r:id="rId10" w:tgtFrame="_blank" w:history="1">
                                <w:r>
                                  <w:rPr>
                                    <w:rStyle w:val="Hyperlink"/>
                                    <w:rFonts w:ascii="Tahoma" w:hAnsi="Tahoma" w:cs="Tahoma"/>
                                    <w:b/>
                                    <w:bCs/>
                                    <w:color w:val="4E3487"/>
                                    <w:sz w:val="21"/>
                                    <w:szCs w:val="21"/>
                                  </w:rPr>
                                  <w:t>ensure they enter the number of cartons (outers) received</w:t>
                                </w:r>
                              </w:hyperlink>
                              <w:r>
                                <w:rPr>
                                  <w:rFonts w:ascii="Tahoma" w:hAnsi="Tahoma" w:cs="Tahoma"/>
                                  <w:color w:val="303030"/>
                                  <w:sz w:val="21"/>
                                  <w:szCs w:val="21"/>
                                </w:rPr>
                                <w:t>, not the number of individual boxes of test kits within those cartons; and </w:t>
                              </w:r>
                            </w:p>
                            <w:p w14:paraId="7DA2DC79" w14:textId="77777777" w:rsidR="00071CFB" w:rsidRDefault="00071CFB" w:rsidP="00071CFB">
                              <w:pPr>
                                <w:numPr>
                                  <w:ilvl w:val="0"/>
                                  <w:numId w:val="29"/>
                                </w:numPr>
                                <w:spacing w:before="100" w:beforeAutospacing="1" w:after="100" w:afterAutospacing="1" w:line="231" w:lineRule="atLeast"/>
                                <w:jc w:val="both"/>
                                <w:rPr>
                                  <w:rFonts w:ascii="Tahoma" w:hAnsi="Tahoma" w:cs="Tahoma"/>
                                  <w:color w:val="303030"/>
                                  <w:sz w:val="21"/>
                                  <w:szCs w:val="21"/>
                                </w:rPr>
                              </w:pPr>
                              <w:hyperlink r:id="rId11" w:tgtFrame="_blank" w:history="1">
                                <w:r>
                                  <w:rPr>
                                    <w:rStyle w:val="Hyperlink"/>
                                    <w:rFonts w:ascii="Tahoma" w:hAnsi="Tahoma" w:cs="Tahoma"/>
                                    <w:b/>
                                    <w:bCs/>
                                    <w:color w:val="4E3487"/>
                                    <w:sz w:val="21"/>
                                    <w:szCs w:val="21"/>
                                  </w:rPr>
                                  <w:t>record and report only one reason for tests being requested</w:t>
                                </w:r>
                              </w:hyperlink>
                              <w:r>
                                <w:rPr>
                                  <w:rStyle w:val="Strong"/>
                                  <w:rFonts w:ascii="Tahoma" w:hAnsi="Tahoma" w:cs="Tahoma"/>
                                  <w:color w:val="303030"/>
                                  <w:sz w:val="21"/>
                                  <w:szCs w:val="21"/>
                                </w:rPr>
                                <w:t> </w:t>
                              </w:r>
                              <w:r>
                                <w:rPr>
                                  <w:rFonts w:ascii="Tahoma" w:hAnsi="Tahoma" w:cs="Tahoma"/>
                                  <w:color w:val="303030"/>
                                  <w:sz w:val="21"/>
                                  <w:szCs w:val="21"/>
                                </w:rPr>
                                <w:t>to make an accurate payment claim. </w:t>
                              </w:r>
                            </w:p>
                            <w:p w14:paraId="6BF113ED" w14:textId="77777777" w:rsidR="00071CFB" w:rsidRDefault="00071CFB" w:rsidP="00071CFB">
                              <w:pPr>
                                <w:pStyle w:val="NormalWeb"/>
                                <w:spacing w:line="231" w:lineRule="atLeast"/>
                                <w:jc w:val="both"/>
                                <w:rPr>
                                  <w:rFonts w:ascii="Tahoma" w:hAnsi="Tahoma" w:cs="Tahoma"/>
                                  <w:color w:val="303030"/>
                                  <w:sz w:val="21"/>
                                  <w:szCs w:val="21"/>
                                </w:rPr>
                              </w:pPr>
                              <w:r>
                                <w:rPr>
                                  <w:rFonts w:ascii="Tahoma" w:hAnsi="Tahoma" w:cs="Tahoma"/>
                                  <w:color w:val="303030"/>
                                  <w:sz w:val="21"/>
                                  <w:szCs w:val="21"/>
                                </w:rPr>
                                <w:t>PSNC has also published </w:t>
                              </w:r>
                              <w:hyperlink r:id="rId12" w:tgtFrame="_blank" w:tooltip="https://psnc.org.uk/our-news/ask-psnc-faqs-on-the-c-19-test-distribution-service-2/" w:history="1">
                                <w:r>
                                  <w:rPr>
                                    <w:rStyle w:val="Strong"/>
                                    <w:rFonts w:ascii="Tahoma" w:hAnsi="Tahoma" w:cs="Tahoma"/>
                                    <w:color w:val="4E3487"/>
                                    <w:sz w:val="21"/>
                                    <w:szCs w:val="21"/>
                                    <w:u w:val="single"/>
                                  </w:rPr>
                                  <w:t>further </w:t>
                                </w:r>
                              </w:hyperlink>
                              <w:hyperlink r:id="rId13" w:tgtFrame="_blank" w:history="1">
                                <w:r>
                                  <w:rPr>
                                    <w:rStyle w:val="Strong"/>
                                    <w:rFonts w:ascii="Tahoma" w:hAnsi="Tahoma" w:cs="Tahoma"/>
                                    <w:color w:val="4E3487"/>
                                    <w:sz w:val="21"/>
                                    <w:szCs w:val="21"/>
                                    <w:u w:val="single"/>
                                  </w:rPr>
                                  <w:t>FAQs</w:t>
                                </w:r>
                              </w:hyperlink>
                              <w:r>
                                <w:rPr>
                                  <w:rFonts w:ascii="Tahoma" w:hAnsi="Tahoma" w:cs="Tahoma"/>
                                  <w:color w:val="303030"/>
                                  <w:sz w:val="21"/>
                                  <w:szCs w:val="21"/>
                                </w:rPr>
                                <w:t> (see the FAQs section at the end of this newsletter) to help community pharmacy teams as they begin to provide the service. </w:t>
                              </w:r>
                            </w:p>
                            <w:p w14:paraId="1A96629C" w14:textId="77777777" w:rsidR="00071CFB" w:rsidRPr="00071CFB" w:rsidRDefault="00071CFB" w:rsidP="00071CFB">
                              <w:pPr>
                                <w:pStyle w:val="Heading3"/>
                                <w:spacing w:before="0" w:after="75" w:line="297" w:lineRule="atLeast"/>
                                <w:rPr>
                                  <w:rFonts w:ascii="Tahoma" w:hAnsi="Tahoma" w:cs="Tahoma"/>
                                  <w:b/>
                                  <w:bCs/>
                                  <w:color w:val="4E3487"/>
                                  <w:sz w:val="28"/>
                                  <w:szCs w:val="28"/>
                                </w:rPr>
                              </w:pPr>
                              <w:r w:rsidRPr="00071CFB">
                                <w:rPr>
                                  <w:rFonts w:ascii="Tahoma" w:hAnsi="Tahoma" w:cs="Tahoma"/>
                                  <w:b/>
                                  <w:bCs/>
                                  <w:color w:val="4E3487"/>
                                  <w:sz w:val="28"/>
                                  <w:szCs w:val="28"/>
                                </w:rPr>
                                <w:t>Pharmacist and GP collaboration study: participants needed</w:t>
                              </w:r>
                            </w:p>
                            <w:p w14:paraId="1651C9B9" w14:textId="77777777" w:rsidR="00071CFB" w:rsidRDefault="00071CFB" w:rsidP="00071CFB">
                              <w:pPr>
                                <w:spacing w:line="231" w:lineRule="atLeast"/>
                                <w:jc w:val="both"/>
                                <w:rPr>
                                  <w:rFonts w:ascii="Tahoma" w:hAnsi="Tahoma" w:cs="Tahoma"/>
                                  <w:color w:val="303030"/>
                                  <w:sz w:val="21"/>
                                  <w:szCs w:val="21"/>
                                </w:rPr>
                              </w:pPr>
                              <w:r>
                                <w:rPr>
                                  <w:rFonts w:ascii="Tahoma" w:hAnsi="Tahoma" w:cs="Tahoma"/>
                                  <w:color w:val="303030"/>
                                  <w:sz w:val="21"/>
                                  <w:szCs w:val="21"/>
                                </w:rPr>
                                <w:br/>
                                <w:t>Pharmacy teams are being invited to participate in a research study that aims to help community pharmacists and GPs work in a more collaborative way. The research team are looking for a wide range of participants, including community pharmacists and their teams. The study is being led by Simon Harris, a community pharmacist from Green Light Pharmacy in London.</w:t>
                              </w:r>
                              <w:r>
                                <w:rPr>
                                  <w:rFonts w:ascii="Tahoma" w:hAnsi="Tahoma" w:cs="Tahoma"/>
                                  <w:color w:val="303030"/>
                                  <w:sz w:val="21"/>
                                  <w:szCs w:val="21"/>
                                </w:rPr>
                                <w:br/>
                              </w:r>
                              <w:r>
                                <w:rPr>
                                  <w:rFonts w:ascii="Tahoma" w:hAnsi="Tahoma" w:cs="Tahoma"/>
                                  <w:color w:val="303030"/>
                                  <w:sz w:val="21"/>
                                  <w:szCs w:val="21"/>
                                </w:rPr>
                                <w:br/>
                              </w:r>
                              <w:hyperlink r:id="rId14" w:tgtFrame="_blank" w:history="1">
                                <w:r>
                                  <w:rPr>
                                    <w:rStyle w:val="Hyperlink"/>
                                    <w:rFonts w:ascii="Tahoma" w:hAnsi="Tahoma" w:cs="Tahoma"/>
                                    <w:b/>
                                    <w:bCs/>
                                    <w:color w:val="4E3487"/>
                                    <w:sz w:val="21"/>
                                    <w:szCs w:val="21"/>
                                  </w:rPr>
                                  <w:t>Find out more about this study</w:t>
                                </w:r>
                              </w:hyperlink>
                            </w:p>
                            <w:p w14:paraId="5AB489E2" w14:textId="77777777" w:rsidR="00071CFB" w:rsidRPr="00071CFB" w:rsidRDefault="00071CFB" w:rsidP="00071CFB">
                              <w:pPr>
                                <w:pStyle w:val="Heading3"/>
                                <w:spacing w:before="0" w:after="75" w:line="297" w:lineRule="atLeast"/>
                                <w:rPr>
                                  <w:rFonts w:ascii="Tahoma" w:hAnsi="Tahoma" w:cs="Tahoma"/>
                                  <w:b/>
                                  <w:bCs/>
                                  <w:color w:val="4E3487"/>
                                  <w:sz w:val="27"/>
                                  <w:szCs w:val="27"/>
                                </w:rPr>
                              </w:pPr>
                              <w:r>
                                <w:rPr>
                                  <w:rFonts w:ascii="Tahoma" w:hAnsi="Tahoma" w:cs="Tahoma"/>
                                  <w:color w:val="4E3487"/>
                                </w:rPr>
                                <w:br/>
                              </w:r>
                              <w:r w:rsidRPr="00071CFB">
                                <w:rPr>
                                  <w:rFonts w:ascii="Tahoma" w:hAnsi="Tahoma" w:cs="Tahoma"/>
                                  <w:b/>
                                  <w:bCs/>
                                  <w:color w:val="4E3487"/>
                                  <w:sz w:val="28"/>
                                  <w:szCs w:val="28"/>
                                </w:rPr>
                                <w:t>BOPA ‘Let’s Communicate Cancer Series’</w:t>
                              </w:r>
                            </w:p>
                            <w:p w14:paraId="5B1A8E79" w14:textId="77777777" w:rsidR="00071CFB" w:rsidRDefault="00071CFB" w:rsidP="00071CFB">
                              <w:pPr>
                                <w:pStyle w:val="NormalWeb"/>
                                <w:spacing w:line="231" w:lineRule="atLeast"/>
                                <w:jc w:val="both"/>
                                <w:rPr>
                                  <w:rFonts w:ascii="Tahoma" w:hAnsi="Tahoma" w:cs="Tahoma"/>
                                  <w:color w:val="303030"/>
                                  <w:sz w:val="21"/>
                                  <w:szCs w:val="21"/>
                                </w:rPr>
                              </w:pPr>
                              <w:r>
                                <w:rPr>
                                  <w:rFonts w:ascii="Tahoma" w:hAnsi="Tahoma" w:cs="Tahoma"/>
                                  <w:color w:val="303030"/>
                                  <w:sz w:val="21"/>
                                  <w:szCs w:val="21"/>
                                </w:rPr>
                                <w:t>Community pharmacy teams are reminded that the British Oncology Pharmacy Association (BOPA) recently launched an educational series on how to discuss cancer. ‘Let’s Communicate Cancer’ is free and accessible e-learning that teaches healthcare professionals about cancer from basics to detail.</w:t>
                              </w:r>
                            </w:p>
                            <w:p w14:paraId="24D89CF6" w14:textId="77777777" w:rsidR="00071CFB" w:rsidRDefault="00071CFB" w:rsidP="00071CFB">
                              <w:pPr>
                                <w:pStyle w:val="NormalWeb"/>
                                <w:spacing w:line="231" w:lineRule="atLeast"/>
                                <w:jc w:val="both"/>
                                <w:rPr>
                                  <w:rFonts w:ascii="Tahoma" w:hAnsi="Tahoma" w:cs="Tahoma"/>
                                  <w:color w:val="303030"/>
                                  <w:sz w:val="21"/>
                                  <w:szCs w:val="21"/>
                                </w:rPr>
                              </w:pPr>
                              <w:r>
                                <w:rPr>
                                  <w:rFonts w:ascii="Tahoma" w:hAnsi="Tahoma" w:cs="Tahoma"/>
                                  <w:color w:val="303030"/>
                                  <w:sz w:val="21"/>
                                  <w:szCs w:val="21"/>
                                </w:rPr>
                                <w:lastRenderedPageBreak/>
                                <w:t>Pharmacies may wish to take advantage of this free training to up-skill their teams ahead of considering any cancer awareness activities as part of their continuing health promotion activities.</w:t>
                              </w:r>
                              <w:r>
                                <w:rPr>
                                  <w:rFonts w:ascii="Tahoma" w:hAnsi="Tahoma" w:cs="Tahoma"/>
                                  <w:color w:val="303030"/>
                                  <w:sz w:val="21"/>
                                  <w:szCs w:val="21"/>
                                </w:rPr>
                                <w:br/>
                              </w:r>
                              <w:r>
                                <w:rPr>
                                  <w:rFonts w:ascii="Tahoma" w:hAnsi="Tahoma" w:cs="Tahoma"/>
                                  <w:color w:val="303030"/>
                                  <w:sz w:val="21"/>
                                  <w:szCs w:val="21"/>
                                </w:rPr>
                                <w:br/>
                              </w:r>
                              <w:hyperlink r:id="rId15" w:tgtFrame="_blank" w:history="1">
                                <w:r>
                                  <w:rPr>
                                    <w:rStyle w:val="Hyperlink"/>
                                    <w:rFonts w:ascii="Tahoma" w:hAnsi="Tahoma" w:cs="Tahoma"/>
                                    <w:b/>
                                    <w:bCs/>
                                    <w:color w:val="4E3487"/>
                                    <w:sz w:val="21"/>
                                    <w:szCs w:val="21"/>
                                  </w:rPr>
                                  <w:t>Find out more about the ‘Let’s Communicate Cancer Series’</w:t>
                                </w:r>
                              </w:hyperlink>
                            </w:p>
                            <w:tbl>
                              <w:tblPr>
                                <w:tblW w:w="5000" w:type="pct"/>
                                <w:tblCellSpacing w:w="15" w:type="dxa"/>
                                <w:tblCellMar>
                                  <w:top w:w="200" w:type="dxa"/>
                                  <w:left w:w="200" w:type="dxa"/>
                                  <w:bottom w:w="200" w:type="dxa"/>
                                  <w:right w:w="200" w:type="dxa"/>
                                </w:tblCellMar>
                                <w:tblLook w:val="04A0" w:firstRow="1" w:lastRow="0" w:firstColumn="1" w:lastColumn="0" w:noHBand="0" w:noVBand="1"/>
                              </w:tblPr>
                              <w:tblGrid>
                                <w:gridCol w:w="8940"/>
                              </w:tblGrid>
                              <w:tr w:rsidR="00071CFB" w14:paraId="19B243C2" w14:textId="77777777">
                                <w:trPr>
                                  <w:tblCellSpacing w:w="15" w:type="dxa"/>
                                </w:trPr>
                                <w:tc>
                                  <w:tcPr>
                                    <w:tcW w:w="0" w:type="auto"/>
                                    <w:shd w:val="clear" w:color="auto" w:fill="4E3487"/>
                                    <w:vAlign w:val="center"/>
                                    <w:hideMark/>
                                  </w:tcPr>
                                  <w:p w14:paraId="250A5D83" w14:textId="77777777" w:rsidR="00071CFB" w:rsidRDefault="00071CFB" w:rsidP="00071CFB">
                                    <w:pPr>
                                      <w:pStyle w:val="Heading3"/>
                                      <w:spacing w:before="0" w:after="75" w:line="297" w:lineRule="atLeast"/>
                                      <w:jc w:val="center"/>
                                      <w:rPr>
                                        <w:rFonts w:ascii="Tahoma" w:hAnsi="Tahoma" w:cs="Tahoma"/>
                                        <w:color w:val="FFFFFF"/>
                                        <w:sz w:val="27"/>
                                        <w:szCs w:val="27"/>
                                      </w:rPr>
                                    </w:pPr>
                                    <w:r>
                                      <w:rPr>
                                        <w:rFonts w:ascii="Tahoma" w:hAnsi="Tahoma" w:cs="Tahoma"/>
                                        <w:color w:val="FFFFFF"/>
                                      </w:rPr>
                                      <w:t>Have you seen our latest FAQs?</w:t>
                                    </w:r>
                                  </w:p>
                                </w:tc>
                              </w:tr>
                            </w:tbl>
                            <w:p w14:paraId="66DE22CB" w14:textId="77777777" w:rsidR="00071CFB" w:rsidRDefault="00071CFB" w:rsidP="00071CFB">
                              <w:pPr>
                                <w:pStyle w:val="NormalWeb"/>
                                <w:spacing w:line="231" w:lineRule="atLeast"/>
                                <w:jc w:val="both"/>
                                <w:rPr>
                                  <w:rFonts w:ascii="Tahoma" w:hAnsi="Tahoma" w:cs="Tahoma"/>
                                  <w:color w:val="303030"/>
                                  <w:sz w:val="21"/>
                                  <w:szCs w:val="21"/>
                                </w:rPr>
                              </w:pPr>
                              <w:r>
                                <w:rPr>
                                  <w:rFonts w:ascii="Tahoma" w:hAnsi="Tahoma" w:cs="Tahoma"/>
                                  <w:color w:val="303030"/>
                                  <w:sz w:val="21"/>
                                  <w:szCs w:val="21"/>
                                </w:rPr>
                                <w:t>PSNC's website has a large number of answers to queries posed by pharmacy contractors, their teams, and LPCs; these are updated on a regular basis. Recent additions on the</w:t>
                              </w:r>
                              <w:r>
                                <w:rPr>
                                  <w:rStyle w:val="apple-converted-space"/>
                                  <w:rFonts w:ascii="Tahoma" w:hAnsi="Tahoma" w:cs="Tahoma"/>
                                  <w:color w:val="303030"/>
                                  <w:sz w:val="21"/>
                                  <w:szCs w:val="21"/>
                                </w:rPr>
                                <w:t> </w:t>
                              </w:r>
                              <w:r>
                                <w:rPr>
                                  <w:rStyle w:val="Strong"/>
                                  <w:rFonts w:ascii="Tahoma" w:hAnsi="Tahoma" w:cs="Tahoma"/>
                                  <w:color w:val="303030"/>
                                  <w:sz w:val="21"/>
                                  <w:szCs w:val="21"/>
                                </w:rPr>
                                <w:t>community pharmacy C-19 lateral flow device distribution service</w:t>
                              </w:r>
                              <w:r>
                                <w:rPr>
                                  <w:rFonts w:ascii="Tahoma" w:hAnsi="Tahoma" w:cs="Tahoma"/>
                                  <w:color w:val="303030"/>
                                  <w:sz w:val="21"/>
                                  <w:szCs w:val="21"/>
                                </w:rPr>
                                <w:t> include:</w:t>
                              </w:r>
                            </w:p>
                            <w:p w14:paraId="72E9C439" w14:textId="77777777" w:rsidR="00071CFB" w:rsidRDefault="00071CFB" w:rsidP="00071CFB">
                              <w:pPr>
                                <w:pStyle w:val="NormalWeb"/>
                                <w:spacing w:line="231" w:lineRule="atLeast"/>
                                <w:jc w:val="both"/>
                                <w:rPr>
                                  <w:rFonts w:ascii="Tahoma" w:hAnsi="Tahoma" w:cs="Tahoma"/>
                                  <w:color w:val="303030"/>
                                  <w:sz w:val="21"/>
                                  <w:szCs w:val="21"/>
                                </w:rPr>
                              </w:pPr>
                              <w:r>
                                <w:rPr>
                                  <w:rStyle w:val="Strong"/>
                                  <w:rFonts w:ascii="Tahoma" w:hAnsi="Tahoma" w:cs="Tahoma"/>
                                  <w:color w:val="303030"/>
                                  <w:sz w:val="21"/>
                                  <w:szCs w:val="21"/>
                                </w:rPr>
                                <w:t>Q. Under this service, can I supply C-19 tests to a person under 18 years of age?</w:t>
                              </w:r>
                              <w:r>
                                <w:rPr>
                                  <w:rFonts w:ascii="Tahoma" w:hAnsi="Tahoma" w:cs="Tahoma"/>
                                  <w:color w:val="303030"/>
                                  <w:sz w:val="21"/>
                                  <w:szCs w:val="21"/>
                                </w:rPr>
                                <w:br/>
                              </w:r>
                              <w:r>
                                <w:rPr>
                                  <w:rFonts w:ascii="Tahoma" w:hAnsi="Tahoma" w:cs="Tahoma"/>
                                  <w:color w:val="303030"/>
                                  <w:sz w:val="21"/>
                                  <w:szCs w:val="21"/>
                                </w:rPr>
                                <w:br/>
                                <w:t>Where the person requesting supplies is under 18, it is up to the pharmacist's professional judgement as to whether the supply is appropriate and whether the person collecting the test kits is competent to answer the questions required and understand the information provided.</w:t>
                              </w:r>
                            </w:p>
                            <w:p w14:paraId="0D19AFED" w14:textId="77777777" w:rsidR="00071CFB" w:rsidRDefault="00071CFB" w:rsidP="00071CFB">
                              <w:pPr>
                                <w:pStyle w:val="NormalWeb"/>
                                <w:spacing w:line="231" w:lineRule="atLeast"/>
                                <w:rPr>
                                  <w:rFonts w:ascii="Tahoma" w:hAnsi="Tahoma" w:cs="Tahoma"/>
                                  <w:color w:val="303030"/>
                                  <w:sz w:val="21"/>
                                  <w:szCs w:val="21"/>
                                </w:rPr>
                              </w:pPr>
                              <w:r>
                                <w:rPr>
                                  <w:rStyle w:val="Strong"/>
                                  <w:rFonts w:ascii="Tahoma" w:hAnsi="Tahoma" w:cs="Tahoma"/>
                                  <w:color w:val="303030"/>
                                  <w:sz w:val="21"/>
                                  <w:szCs w:val="21"/>
                                </w:rPr>
                                <w:t>Q. Can the pharmacy team administer a test to a person who has collected a test kit, if they are having trouble using the test kit?</w:t>
                              </w:r>
                              <w:r>
                                <w:rPr>
                                  <w:rFonts w:ascii="Tahoma" w:hAnsi="Tahoma" w:cs="Tahoma"/>
                                  <w:color w:val="303030"/>
                                  <w:sz w:val="21"/>
                                  <w:szCs w:val="21"/>
                                </w:rPr>
                                <w:br/>
                              </w:r>
                              <w:r>
                                <w:rPr>
                                  <w:rFonts w:ascii="Tahoma" w:hAnsi="Tahoma" w:cs="Tahoma"/>
                                  <w:color w:val="303030"/>
                                  <w:sz w:val="21"/>
                                  <w:szCs w:val="21"/>
                                </w:rPr>
                                <w:br/>
                                <w:t>No. The service is only for the distribution of kits. Tests must be conducted away from the pharmacy. Where a person requires assistance to perform a test, they should be referred to 119. Where a local testing service is in place (which may include supported self-testing in pharmacies, where local authorities have commissioned such a service), people unable to self-test could be referred to that service.</w:t>
                              </w:r>
                            </w:p>
                            <w:p w14:paraId="2D7EDC42" w14:textId="77777777" w:rsidR="00071CFB" w:rsidRDefault="00071CFB" w:rsidP="00071CFB">
                              <w:pPr>
                                <w:pStyle w:val="NormalWeb"/>
                                <w:spacing w:line="231" w:lineRule="atLeast"/>
                                <w:rPr>
                                  <w:rFonts w:ascii="Tahoma" w:hAnsi="Tahoma" w:cs="Tahoma"/>
                                  <w:color w:val="303030"/>
                                  <w:sz w:val="21"/>
                                  <w:szCs w:val="21"/>
                                </w:rPr>
                              </w:pPr>
                              <w:r>
                                <w:rPr>
                                  <w:rStyle w:val="Strong"/>
                                  <w:rFonts w:ascii="Tahoma" w:hAnsi="Tahoma" w:cs="Tahoma"/>
                                  <w:color w:val="303030"/>
                                  <w:sz w:val="21"/>
                                  <w:szCs w:val="21"/>
                                </w:rPr>
                                <w:t>Q. Can contractors deliver test kits to people requesting them if they cannot visit the pharmacy?</w:t>
                              </w:r>
                              <w:r>
                                <w:rPr>
                                  <w:rFonts w:ascii="Tahoma" w:hAnsi="Tahoma" w:cs="Tahoma"/>
                                  <w:color w:val="303030"/>
                                  <w:sz w:val="21"/>
                                  <w:szCs w:val="21"/>
                                </w:rPr>
                                <w:br/>
                              </w:r>
                              <w:r>
                                <w:rPr>
                                  <w:rFonts w:ascii="Tahoma" w:hAnsi="Tahoma" w:cs="Tahoma"/>
                                  <w:color w:val="303030"/>
                                  <w:sz w:val="21"/>
                                  <w:szCs w:val="21"/>
                                </w:rPr>
                                <w:br/>
                                <w:t>The service is focused on people collecting test kits from their local community pharmacy. Generally, people who wish to have test kits delivered to their homes should order their kits from the </w:t>
                              </w:r>
                              <w:hyperlink r:id="rId16" w:tgtFrame="_blank" w:history="1">
                                <w:r>
                                  <w:rPr>
                                    <w:rStyle w:val="Strong"/>
                                    <w:rFonts w:ascii="Tahoma" w:hAnsi="Tahoma" w:cs="Tahoma"/>
                                    <w:color w:val="4E3487"/>
                                    <w:sz w:val="21"/>
                                    <w:szCs w:val="21"/>
                                    <w:u w:val="single"/>
                                  </w:rPr>
                                  <w:t>GOV.UK website</w:t>
                                </w:r>
                              </w:hyperlink>
                              <w:r>
                                <w:rPr>
                                  <w:rFonts w:ascii="Tahoma" w:hAnsi="Tahoma" w:cs="Tahoma"/>
                                  <w:color w:val="303030"/>
                                  <w:sz w:val="21"/>
                                  <w:szCs w:val="21"/>
                                </w:rPr>
                                <w:t>. However, home delivery is not precluded by the service specification, as long as all the other requirements of the service are fulfilled.</w:t>
                              </w:r>
                              <w:r>
                                <w:rPr>
                                  <w:rFonts w:ascii="Tahoma" w:hAnsi="Tahoma" w:cs="Tahoma"/>
                                  <w:color w:val="303030"/>
                                  <w:sz w:val="21"/>
                                  <w:szCs w:val="21"/>
                                </w:rPr>
                                <w:br/>
                              </w:r>
                              <w:r>
                                <w:rPr>
                                  <w:rFonts w:ascii="Tahoma" w:hAnsi="Tahoma" w:cs="Tahoma"/>
                                  <w:color w:val="303030"/>
                                  <w:sz w:val="21"/>
                                  <w:szCs w:val="21"/>
                                </w:rPr>
                                <w:br/>
                                <w:t>Further information can be found on PSNC's</w:t>
                              </w:r>
                              <w:r>
                                <w:rPr>
                                  <w:rStyle w:val="apple-converted-space"/>
                                  <w:rFonts w:ascii="Tahoma" w:hAnsi="Tahoma" w:cs="Tahoma"/>
                                  <w:b/>
                                  <w:bCs/>
                                  <w:color w:val="303030"/>
                                  <w:sz w:val="21"/>
                                  <w:szCs w:val="21"/>
                                </w:rPr>
                                <w:t> </w:t>
                              </w:r>
                              <w:hyperlink r:id="rId17" w:tgtFrame="_blank" w:history="1">
                                <w:r>
                                  <w:rPr>
                                    <w:rStyle w:val="Hyperlink"/>
                                    <w:rFonts w:ascii="Tahoma" w:hAnsi="Tahoma" w:cs="Tahoma"/>
                                    <w:b/>
                                    <w:bCs/>
                                    <w:color w:val="4E3487"/>
                                    <w:sz w:val="21"/>
                                    <w:szCs w:val="21"/>
                                  </w:rPr>
                                  <w:t>C-19 test distribution service webpage</w:t>
                                </w:r>
                              </w:hyperlink>
                              <w:r>
                                <w:rPr>
                                  <w:rFonts w:ascii="Tahoma" w:hAnsi="Tahoma" w:cs="Tahoma"/>
                                  <w:color w:val="303030"/>
                                  <w:sz w:val="21"/>
                                  <w:szCs w:val="21"/>
                                </w:rPr>
                                <w:t>.</w:t>
                              </w:r>
                            </w:p>
                          </w:tc>
                        </w:tr>
                      </w:tbl>
                      <w:p w14:paraId="5586BF7D" w14:textId="77777777" w:rsidR="00071CFB" w:rsidRDefault="00071CFB" w:rsidP="00071CFB">
                        <w:pPr>
                          <w:rPr>
                            <w:rFonts w:ascii="Times New Roman" w:hAnsi="Times New Roman" w:cs="Times New Roman"/>
                          </w:rPr>
                        </w:pPr>
                      </w:p>
                      <w:p w14:paraId="5C8C968D" w14:textId="7F82C3C2"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8"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7"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65358D"/>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B7F23"/>
    <w:multiLevelType w:val="multilevel"/>
    <w:tmpl w:val="6AB2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93F79"/>
    <w:multiLevelType w:val="multilevel"/>
    <w:tmpl w:val="6820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00606F"/>
    <w:multiLevelType w:val="multilevel"/>
    <w:tmpl w:val="7998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5"/>
  </w:num>
  <w:num w:numId="4">
    <w:abstractNumId w:val="14"/>
  </w:num>
  <w:num w:numId="5">
    <w:abstractNumId w:val="3"/>
  </w:num>
  <w:num w:numId="6">
    <w:abstractNumId w:val="12"/>
  </w:num>
  <w:num w:numId="7">
    <w:abstractNumId w:val="11"/>
  </w:num>
  <w:num w:numId="8">
    <w:abstractNumId w:val="7"/>
  </w:num>
  <w:num w:numId="9">
    <w:abstractNumId w:val="13"/>
  </w:num>
  <w:num w:numId="10">
    <w:abstractNumId w:val="18"/>
  </w:num>
  <w:num w:numId="11">
    <w:abstractNumId w:val="8"/>
  </w:num>
  <w:num w:numId="12">
    <w:abstractNumId w:val="23"/>
  </w:num>
  <w:num w:numId="13">
    <w:abstractNumId w:val="4"/>
  </w:num>
  <w:num w:numId="14">
    <w:abstractNumId w:val="24"/>
  </w:num>
  <w:num w:numId="15">
    <w:abstractNumId w:val="27"/>
  </w:num>
  <w:num w:numId="16">
    <w:abstractNumId w:val="20"/>
  </w:num>
  <w:num w:numId="17">
    <w:abstractNumId w:val="21"/>
  </w:num>
  <w:num w:numId="18">
    <w:abstractNumId w:val="1"/>
  </w:num>
  <w:num w:numId="19">
    <w:abstractNumId w:val="9"/>
  </w:num>
  <w:num w:numId="20">
    <w:abstractNumId w:val="28"/>
  </w:num>
  <w:num w:numId="21">
    <w:abstractNumId w:val="17"/>
  </w:num>
  <w:num w:numId="22">
    <w:abstractNumId w:val="2"/>
  </w:num>
  <w:num w:numId="23">
    <w:abstractNumId w:val="15"/>
  </w:num>
  <w:num w:numId="24">
    <w:abstractNumId w:val="16"/>
  </w:num>
  <w:num w:numId="25">
    <w:abstractNumId w:val="19"/>
  </w:num>
  <w:num w:numId="26">
    <w:abstractNumId w:val="22"/>
  </w:num>
  <w:num w:numId="27">
    <w:abstractNumId w:val="6"/>
  </w:num>
  <w:num w:numId="28">
    <w:abstractNumId w:val="2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2246A"/>
    <w:rsid w:val="0003340D"/>
    <w:rsid w:val="00034093"/>
    <w:rsid w:val="000428D4"/>
    <w:rsid w:val="00070E58"/>
    <w:rsid w:val="00071CFB"/>
    <w:rsid w:val="000A549E"/>
    <w:rsid w:val="000B5A0C"/>
    <w:rsid w:val="000D4C3B"/>
    <w:rsid w:val="000E1442"/>
    <w:rsid w:val="000F4332"/>
    <w:rsid w:val="001139B7"/>
    <w:rsid w:val="00114C5E"/>
    <w:rsid w:val="0012103F"/>
    <w:rsid w:val="001243C6"/>
    <w:rsid w:val="00152E8A"/>
    <w:rsid w:val="00156F50"/>
    <w:rsid w:val="001658F9"/>
    <w:rsid w:val="00166151"/>
    <w:rsid w:val="00171CF5"/>
    <w:rsid w:val="00172D0B"/>
    <w:rsid w:val="00173D74"/>
    <w:rsid w:val="00182ED4"/>
    <w:rsid w:val="001B17CE"/>
    <w:rsid w:val="001B462C"/>
    <w:rsid w:val="001E6FF6"/>
    <w:rsid w:val="001F5CFD"/>
    <w:rsid w:val="0022113A"/>
    <w:rsid w:val="002522E4"/>
    <w:rsid w:val="002902D8"/>
    <w:rsid w:val="002907F7"/>
    <w:rsid w:val="00296B2E"/>
    <w:rsid w:val="0029711A"/>
    <w:rsid w:val="002A3E79"/>
    <w:rsid w:val="002C520A"/>
    <w:rsid w:val="002E0191"/>
    <w:rsid w:val="002F42A7"/>
    <w:rsid w:val="00324705"/>
    <w:rsid w:val="00326D98"/>
    <w:rsid w:val="0033373B"/>
    <w:rsid w:val="00352629"/>
    <w:rsid w:val="00373C2A"/>
    <w:rsid w:val="003C0184"/>
    <w:rsid w:val="003F4C63"/>
    <w:rsid w:val="00406FBA"/>
    <w:rsid w:val="00432DF1"/>
    <w:rsid w:val="004638BB"/>
    <w:rsid w:val="00477B5C"/>
    <w:rsid w:val="004C32C5"/>
    <w:rsid w:val="005002E6"/>
    <w:rsid w:val="00515F7F"/>
    <w:rsid w:val="00520043"/>
    <w:rsid w:val="005311C9"/>
    <w:rsid w:val="00536ECF"/>
    <w:rsid w:val="0054036E"/>
    <w:rsid w:val="005468E9"/>
    <w:rsid w:val="00565973"/>
    <w:rsid w:val="00573E2E"/>
    <w:rsid w:val="0058326B"/>
    <w:rsid w:val="005B5858"/>
    <w:rsid w:val="005E1262"/>
    <w:rsid w:val="00616D0F"/>
    <w:rsid w:val="00627E1A"/>
    <w:rsid w:val="00634939"/>
    <w:rsid w:val="00645E44"/>
    <w:rsid w:val="0065358D"/>
    <w:rsid w:val="00655715"/>
    <w:rsid w:val="00664481"/>
    <w:rsid w:val="0067082C"/>
    <w:rsid w:val="00674355"/>
    <w:rsid w:val="00683BF1"/>
    <w:rsid w:val="00687CA4"/>
    <w:rsid w:val="006971BB"/>
    <w:rsid w:val="006A6286"/>
    <w:rsid w:val="006D16C6"/>
    <w:rsid w:val="006D417B"/>
    <w:rsid w:val="006E4214"/>
    <w:rsid w:val="006F1130"/>
    <w:rsid w:val="007208EE"/>
    <w:rsid w:val="00733DA6"/>
    <w:rsid w:val="007638C8"/>
    <w:rsid w:val="007A69E3"/>
    <w:rsid w:val="007B5953"/>
    <w:rsid w:val="007D1A7E"/>
    <w:rsid w:val="007D203B"/>
    <w:rsid w:val="007E0F34"/>
    <w:rsid w:val="007F18C1"/>
    <w:rsid w:val="00812322"/>
    <w:rsid w:val="00820B0C"/>
    <w:rsid w:val="00846B63"/>
    <w:rsid w:val="008661C5"/>
    <w:rsid w:val="008879BE"/>
    <w:rsid w:val="00893014"/>
    <w:rsid w:val="008A3DB0"/>
    <w:rsid w:val="00916454"/>
    <w:rsid w:val="009223B6"/>
    <w:rsid w:val="00932795"/>
    <w:rsid w:val="0093496B"/>
    <w:rsid w:val="009704C3"/>
    <w:rsid w:val="00977F19"/>
    <w:rsid w:val="009927C1"/>
    <w:rsid w:val="00994E18"/>
    <w:rsid w:val="009C26F5"/>
    <w:rsid w:val="009E6560"/>
    <w:rsid w:val="00A17349"/>
    <w:rsid w:val="00A47173"/>
    <w:rsid w:val="00A53001"/>
    <w:rsid w:val="00A61F99"/>
    <w:rsid w:val="00A663D7"/>
    <w:rsid w:val="00A734A1"/>
    <w:rsid w:val="00A84017"/>
    <w:rsid w:val="00A92151"/>
    <w:rsid w:val="00AA6837"/>
    <w:rsid w:val="00AD5306"/>
    <w:rsid w:val="00AD589B"/>
    <w:rsid w:val="00AF6629"/>
    <w:rsid w:val="00B02B33"/>
    <w:rsid w:val="00B41A84"/>
    <w:rsid w:val="00B41FD4"/>
    <w:rsid w:val="00B6067E"/>
    <w:rsid w:val="00B905F3"/>
    <w:rsid w:val="00B92AAD"/>
    <w:rsid w:val="00BD1317"/>
    <w:rsid w:val="00BE7E45"/>
    <w:rsid w:val="00C12A99"/>
    <w:rsid w:val="00C31B87"/>
    <w:rsid w:val="00C53CDE"/>
    <w:rsid w:val="00C72782"/>
    <w:rsid w:val="00C738A1"/>
    <w:rsid w:val="00C815F0"/>
    <w:rsid w:val="00C915D1"/>
    <w:rsid w:val="00CA0C97"/>
    <w:rsid w:val="00CD6B5B"/>
    <w:rsid w:val="00CE457B"/>
    <w:rsid w:val="00CF0289"/>
    <w:rsid w:val="00D10416"/>
    <w:rsid w:val="00D16825"/>
    <w:rsid w:val="00D16B66"/>
    <w:rsid w:val="00D17C49"/>
    <w:rsid w:val="00D203BE"/>
    <w:rsid w:val="00D560A2"/>
    <w:rsid w:val="00D71E6C"/>
    <w:rsid w:val="00D859A9"/>
    <w:rsid w:val="00DA4AE5"/>
    <w:rsid w:val="00DD6002"/>
    <w:rsid w:val="00DE7311"/>
    <w:rsid w:val="00DF35E2"/>
    <w:rsid w:val="00E03F84"/>
    <w:rsid w:val="00E609D4"/>
    <w:rsid w:val="00E67361"/>
    <w:rsid w:val="00E700E7"/>
    <w:rsid w:val="00EF6768"/>
    <w:rsid w:val="00F01C6F"/>
    <w:rsid w:val="00F03D21"/>
    <w:rsid w:val="00F2724A"/>
    <w:rsid w:val="00F32C8D"/>
    <w:rsid w:val="00F735AC"/>
    <w:rsid w:val="00F75E23"/>
    <w:rsid w:val="00F81B97"/>
    <w:rsid w:val="00F830F0"/>
    <w:rsid w:val="00F85B32"/>
    <w:rsid w:val="00FB0C99"/>
    <w:rsid w:val="00FD5231"/>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3688337">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380252009">
      <w:bodyDiv w:val="1"/>
      <w:marLeft w:val="0"/>
      <w:marRight w:val="0"/>
      <w:marTop w:val="0"/>
      <w:marBottom w:val="0"/>
      <w:divBdr>
        <w:top w:val="none" w:sz="0" w:space="0" w:color="auto"/>
        <w:left w:val="none" w:sz="0" w:space="0" w:color="auto"/>
        <w:bottom w:val="none" w:sz="0" w:space="0" w:color="auto"/>
        <w:right w:val="none" w:sz="0" w:space="0" w:color="auto"/>
      </w:divBdr>
      <w:divsChild>
        <w:div w:id="1844126457">
          <w:marLeft w:val="0"/>
          <w:marRight w:val="0"/>
          <w:marTop w:val="0"/>
          <w:marBottom w:val="0"/>
          <w:divBdr>
            <w:top w:val="none" w:sz="0" w:space="0" w:color="auto"/>
            <w:left w:val="none" w:sz="0" w:space="0" w:color="auto"/>
            <w:bottom w:val="none" w:sz="0" w:space="0" w:color="auto"/>
            <w:right w:val="none" w:sz="0" w:space="0" w:color="auto"/>
          </w:divBdr>
        </w:div>
      </w:divsChild>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16011303">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1030754">
      <w:bodyDiv w:val="1"/>
      <w:marLeft w:val="0"/>
      <w:marRight w:val="0"/>
      <w:marTop w:val="0"/>
      <w:marBottom w:val="0"/>
      <w:divBdr>
        <w:top w:val="none" w:sz="0" w:space="0" w:color="auto"/>
        <w:left w:val="none" w:sz="0" w:space="0" w:color="auto"/>
        <w:bottom w:val="none" w:sz="0" w:space="0" w:color="auto"/>
        <w:right w:val="none" w:sz="0" w:space="0" w:color="auto"/>
      </w:divBdr>
      <w:divsChild>
        <w:div w:id="2036543259">
          <w:marLeft w:val="0"/>
          <w:marRight w:val="0"/>
          <w:marTop w:val="0"/>
          <w:marBottom w:val="0"/>
          <w:divBdr>
            <w:top w:val="none" w:sz="0" w:space="0" w:color="auto"/>
            <w:left w:val="none" w:sz="0" w:space="0" w:color="auto"/>
            <w:bottom w:val="none" w:sz="0" w:space="0" w:color="auto"/>
            <w:right w:val="none" w:sz="0" w:space="0" w:color="auto"/>
          </w:divBdr>
        </w:div>
      </w:divsChild>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8201176">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90780303">
      <w:bodyDiv w:val="1"/>
      <w:marLeft w:val="0"/>
      <w:marRight w:val="0"/>
      <w:marTop w:val="0"/>
      <w:marBottom w:val="0"/>
      <w:divBdr>
        <w:top w:val="none" w:sz="0" w:space="0" w:color="auto"/>
        <w:left w:val="none" w:sz="0" w:space="0" w:color="auto"/>
        <w:bottom w:val="none" w:sz="0" w:space="0" w:color="auto"/>
        <w:right w:val="none" w:sz="0" w:space="0" w:color="auto"/>
      </w:divBdr>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23349486">
      <w:bodyDiv w:val="1"/>
      <w:marLeft w:val="0"/>
      <w:marRight w:val="0"/>
      <w:marTop w:val="0"/>
      <w:marBottom w:val="0"/>
      <w:divBdr>
        <w:top w:val="none" w:sz="0" w:space="0" w:color="auto"/>
        <w:left w:val="none" w:sz="0" w:space="0" w:color="auto"/>
        <w:bottom w:val="none" w:sz="0" w:space="0" w:color="auto"/>
        <w:right w:val="none" w:sz="0" w:space="0" w:color="auto"/>
      </w:divBdr>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05722720">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082672259">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637d6ece23&amp;e=12757307a1" TargetMode="External"/><Relationship Id="rId18" Type="http://schemas.openxmlformats.org/officeDocument/2006/relationships/hyperlink" Target="https://psnc.us7.list-manage.com/track/click?u=86d41ab7fa4c7c2c5d7210782&amp;id=b671e78d7a&amp;e=d3dc5e7fbd"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s://psnc.us7.list-manage.com/track/click?u=86d41ab7fa4c7c2c5d7210782&amp;id=9f085df2d1&amp;e=d3dc5e7fbd"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62e9fca529&amp;e=12757307a1" TargetMode="External"/><Relationship Id="rId17" Type="http://schemas.openxmlformats.org/officeDocument/2006/relationships/hyperlink" Target="https://psnc.us7.list-manage.com/track/click?u=86d41ab7fa4c7c2c5d7210782&amp;id=09837a9835&amp;e=12757307a1" TargetMode="External"/><Relationship Id="rId25" Type="http://schemas.openxmlformats.org/officeDocument/2006/relationships/hyperlink" Target="https://psnc.us7.list-manage.com/track/click?u=86d41ab7fa4c7c2c5d7210782&amp;id=b774bcfe37&amp;e=d3dc5e7fbd" TargetMode="External"/><Relationship Id="rId2" Type="http://schemas.openxmlformats.org/officeDocument/2006/relationships/styles" Target="styles.xml"/><Relationship Id="rId16" Type="http://schemas.openxmlformats.org/officeDocument/2006/relationships/hyperlink" Target="https://psnc.us7.list-manage.com/track/click?u=86d41ab7fa4c7c2c5d7210782&amp;id=d96fd38036&amp;e=12757307a1"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238735dee1&amp;e=12757307a1" TargetMode="External"/><Relationship Id="rId24"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hyperlink" Target="https://psnc.us7.list-manage.com/track/click?u=86d41ab7fa4c7c2c5d7210782&amp;id=4303563280&amp;e=12757307a1" TargetMode="External"/><Relationship Id="rId23" Type="http://schemas.openxmlformats.org/officeDocument/2006/relationships/hyperlink" Target="https://psnc.us7.list-manage.com/track/click?u=86d41ab7fa4c7c2c5d7210782&amp;id=3f47eea43b&amp;e=d3dc5e7fbd" TargetMode="External"/><Relationship Id="rId28" Type="http://schemas.openxmlformats.org/officeDocument/2006/relationships/fontTable" Target="fontTable.xml"/><Relationship Id="rId10" Type="http://schemas.openxmlformats.org/officeDocument/2006/relationships/hyperlink" Target="https://psnc.us7.list-manage.com/track/click?u=86d41ab7fa4c7c2c5d7210782&amp;id=eef42a42c0&amp;e=12757307a1" TargetMode="External"/><Relationship Id="rId19" Type="http://schemas.openxmlformats.org/officeDocument/2006/relationships/hyperlink" Target="https://psnc.us7.list-manage.com/track/click?u=86d41ab7fa4c7c2c5d7210782&amp;id=0719e3152f&amp;e=d3dc5e7fbd"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0b5811292a&amp;e=12757307a1" TargetMode="External"/><Relationship Id="rId14" Type="http://schemas.openxmlformats.org/officeDocument/2006/relationships/hyperlink" Target="https://psnc.us7.list-manage.com/track/click?u=86d41ab7fa4c7c2c5d7210782&amp;id=bfb18d6947&amp;e=12757307a1" TargetMode="External"/><Relationship Id="rId22" Type="http://schemas.openxmlformats.org/officeDocument/2006/relationships/image" Target="media/image4.png"/><Relationship Id="rId27" Type="http://schemas.openxmlformats.org/officeDocument/2006/relationships/hyperlink" Target="mailto:info@psn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3267</Words>
  <Characters>18626</Characters>
  <Application>Microsoft Office Word</Application>
  <DocSecurity>2</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2</cp:revision>
  <dcterms:created xsi:type="dcterms:W3CDTF">2021-04-16T22:20:00Z</dcterms:created>
  <dcterms:modified xsi:type="dcterms:W3CDTF">2021-04-16T22:20:00Z</dcterms:modified>
</cp:coreProperties>
</file>