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67D84" w14:paraId="00C1EF39" w14:textId="77777777" w:rsidTr="00D67D84">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67D84" w14:paraId="27F1EE1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67D84" w14:paraId="4BE76187" w14:textId="77777777">
                    <w:trPr>
                      <w:tblCellSpacing w:w="0" w:type="dxa"/>
                      <w:jc w:val="center"/>
                    </w:trPr>
                    <w:tc>
                      <w:tcPr>
                        <w:tcW w:w="3000" w:type="dxa"/>
                        <w:hideMark/>
                      </w:tcPr>
                      <w:p w14:paraId="46CD4546" w14:textId="594F970E" w:rsidR="00D67D84" w:rsidRDefault="00506461" w:rsidP="00506461">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69547D8" w14:textId="77777777" w:rsidR="00D67D84" w:rsidRDefault="00D67D84">
                  <w:pPr>
                    <w:jc w:val="center"/>
                    <w:rPr>
                      <w:rFonts w:ascii="Times New Roman" w:eastAsia="Times New Roman" w:hAnsi="Times New Roman" w:cs="Times New Roman"/>
                      <w:sz w:val="20"/>
                      <w:szCs w:val="20"/>
                    </w:rPr>
                  </w:pPr>
                </w:p>
              </w:tc>
            </w:tr>
            <w:tr w:rsidR="00D67D84" w14:paraId="7FA2030E"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67D84" w14:paraId="793D5AC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A6469D7" w14:textId="07F9775A" w:rsidR="00D67D84" w:rsidRDefault="00D67D84">
                        <w:pPr>
                          <w:jc w:val="center"/>
                          <w:rPr>
                            <w:rFonts w:eastAsia="Times New Roman"/>
                          </w:rPr>
                        </w:pPr>
                        <w:r>
                          <w:rPr>
                            <w:rFonts w:eastAsia="Times New Roman"/>
                            <w:noProof/>
                          </w:rPr>
                          <w:drawing>
                            <wp:inline distT="0" distB="0" distL="0" distR="0" wp14:anchorId="4061C9E7" wp14:editId="74269A46">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D67D84" w14:paraId="3F896903" w14:textId="77777777">
                    <w:trPr>
                      <w:tblCellSpacing w:w="0" w:type="dxa"/>
                    </w:trPr>
                    <w:tc>
                      <w:tcPr>
                        <w:tcW w:w="0" w:type="auto"/>
                        <w:vMerge/>
                        <w:tcBorders>
                          <w:top w:val="nil"/>
                          <w:left w:val="nil"/>
                          <w:bottom w:val="single" w:sz="2" w:space="0" w:color="FFFFFF"/>
                          <w:right w:val="nil"/>
                        </w:tcBorders>
                        <w:vAlign w:val="center"/>
                        <w:hideMark/>
                      </w:tcPr>
                      <w:p w14:paraId="41CFB5D8" w14:textId="77777777" w:rsidR="00D67D84" w:rsidRDefault="00D67D84">
                        <w:pPr>
                          <w:rPr>
                            <w:rFonts w:eastAsia="Times New Roman"/>
                          </w:rPr>
                        </w:pPr>
                      </w:p>
                    </w:tc>
                    <w:tc>
                      <w:tcPr>
                        <w:tcW w:w="3450" w:type="dxa"/>
                        <w:tcBorders>
                          <w:top w:val="nil"/>
                          <w:left w:val="nil"/>
                          <w:bottom w:val="nil"/>
                          <w:right w:val="nil"/>
                        </w:tcBorders>
                        <w:vAlign w:val="center"/>
                        <w:hideMark/>
                      </w:tcPr>
                      <w:p w14:paraId="587FF290" w14:textId="77777777" w:rsidR="00D67D84" w:rsidRDefault="00D67D84">
                        <w:pPr>
                          <w:pStyle w:val="Heading1"/>
                          <w:rPr>
                            <w:rFonts w:eastAsia="Times New Roman"/>
                          </w:rPr>
                        </w:pPr>
                        <w:r>
                          <w:rPr>
                            <w:rFonts w:eastAsia="Times New Roman"/>
                          </w:rPr>
                          <w:t>Daily Update </w:t>
                        </w:r>
                      </w:p>
                    </w:tc>
                  </w:tr>
                  <w:tr w:rsidR="00D67D84" w14:paraId="42F1E9FC" w14:textId="77777777">
                    <w:trPr>
                      <w:tblCellSpacing w:w="0" w:type="dxa"/>
                    </w:trPr>
                    <w:tc>
                      <w:tcPr>
                        <w:tcW w:w="0" w:type="auto"/>
                        <w:vMerge/>
                        <w:tcBorders>
                          <w:top w:val="nil"/>
                          <w:left w:val="nil"/>
                          <w:bottom w:val="single" w:sz="2" w:space="0" w:color="FFFFFF"/>
                          <w:right w:val="nil"/>
                        </w:tcBorders>
                        <w:vAlign w:val="center"/>
                        <w:hideMark/>
                      </w:tcPr>
                      <w:p w14:paraId="158E64BF" w14:textId="77777777" w:rsidR="00D67D84" w:rsidRDefault="00D67D84">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2BB9FE6" w14:textId="77777777" w:rsidR="00D67D84" w:rsidRDefault="00D67D84">
                        <w:pPr>
                          <w:pStyle w:val="Heading2"/>
                          <w:rPr>
                            <w:rFonts w:eastAsia="Times New Roman"/>
                            <w:color w:val="93378A"/>
                          </w:rPr>
                        </w:pPr>
                        <w:r>
                          <w:rPr>
                            <w:rFonts w:eastAsia="Times New Roman"/>
                            <w:color w:val="93378A"/>
                          </w:rPr>
                          <w:t>Monday 26th July 2021</w:t>
                        </w:r>
                      </w:p>
                    </w:tc>
                  </w:tr>
                </w:tbl>
                <w:p w14:paraId="55AA4190" w14:textId="77777777" w:rsidR="00D67D84" w:rsidRDefault="00D67D84">
                  <w:pPr>
                    <w:rPr>
                      <w:rFonts w:ascii="Times New Roman" w:eastAsia="Times New Roman" w:hAnsi="Times New Roman" w:cs="Times New Roman"/>
                      <w:sz w:val="20"/>
                      <w:szCs w:val="20"/>
                    </w:rPr>
                  </w:pPr>
                </w:p>
              </w:tc>
            </w:tr>
            <w:tr w:rsidR="00D67D84" w14:paraId="3DAF6D74" w14:textId="77777777">
              <w:tblPrEx>
                <w:shd w:val="clear" w:color="auto" w:fill="auto"/>
              </w:tblPrEx>
              <w:trPr>
                <w:tblCellSpacing w:w="0" w:type="dxa"/>
                <w:jc w:val="center"/>
              </w:trPr>
              <w:tc>
                <w:tcPr>
                  <w:tcW w:w="9000" w:type="dxa"/>
                  <w:hideMark/>
                </w:tcPr>
                <w:p w14:paraId="055C36D0" w14:textId="1C782900" w:rsidR="00D67D84" w:rsidRDefault="00D67D84">
                  <w:pPr>
                    <w:rPr>
                      <w:rFonts w:eastAsia="Times New Roman"/>
                    </w:rPr>
                  </w:pPr>
                  <w:r>
                    <w:rPr>
                      <w:rFonts w:eastAsia="Times New Roman"/>
                      <w:noProof/>
                    </w:rPr>
                    <w:drawing>
                      <wp:inline distT="0" distB="0" distL="0" distR="0" wp14:anchorId="028B77BE" wp14:editId="185F5623">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D67D84" w14:paraId="0B306D7E"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D67D84" w14:paraId="4B796D1C" w14:textId="77777777">
                    <w:trPr>
                      <w:trHeight w:val="150"/>
                      <w:tblCellSpacing w:w="15" w:type="dxa"/>
                      <w:jc w:val="center"/>
                    </w:trPr>
                    <w:tc>
                      <w:tcPr>
                        <w:tcW w:w="150" w:type="dxa"/>
                        <w:vAlign w:val="center"/>
                        <w:hideMark/>
                      </w:tcPr>
                      <w:p w14:paraId="0E06D535" w14:textId="77777777" w:rsidR="00D67D84" w:rsidRDefault="00D67D84">
                        <w:pPr>
                          <w:rPr>
                            <w:rFonts w:eastAsia="Times New Roman"/>
                          </w:rPr>
                        </w:pPr>
                      </w:p>
                    </w:tc>
                    <w:tc>
                      <w:tcPr>
                        <w:tcW w:w="8700" w:type="dxa"/>
                        <w:vAlign w:val="center"/>
                        <w:hideMark/>
                      </w:tcPr>
                      <w:p w14:paraId="372E1278" w14:textId="77777777" w:rsidR="00D67D84" w:rsidRDefault="00D67D84">
                        <w:pPr>
                          <w:rPr>
                            <w:rFonts w:ascii="Times New Roman" w:eastAsia="Times New Roman" w:hAnsi="Times New Roman" w:cs="Times New Roman"/>
                            <w:sz w:val="20"/>
                            <w:szCs w:val="20"/>
                          </w:rPr>
                        </w:pPr>
                      </w:p>
                    </w:tc>
                    <w:tc>
                      <w:tcPr>
                        <w:tcW w:w="150" w:type="dxa"/>
                        <w:vAlign w:val="center"/>
                        <w:hideMark/>
                      </w:tcPr>
                      <w:p w14:paraId="7D87529E" w14:textId="77777777" w:rsidR="00D67D84" w:rsidRDefault="00D67D84">
                        <w:pPr>
                          <w:rPr>
                            <w:rFonts w:ascii="Times New Roman" w:eastAsia="Times New Roman" w:hAnsi="Times New Roman" w:cs="Times New Roman"/>
                            <w:sz w:val="20"/>
                            <w:szCs w:val="20"/>
                          </w:rPr>
                        </w:pPr>
                      </w:p>
                    </w:tc>
                  </w:tr>
                  <w:tr w:rsidR="00D67D84" w14:paraId="6EF054B0" w14:textId="77777777">
                    <w:trPr>
                      <w:tblCellSpacing w:w="15" w:type="dxa"/>
                      <w:jc w:val="center"/>
                    </w:trPr>
                    <w:tc>
                      <w:tcPr>
                        <w:tcW w:w="150" w:type="dxa"/>
                        <w:vAlign w:val="center"/>
                        <w:hideMark/>
                      </w:tcPr>
                      <w:p w14:paraId="0C5BB2CD" w14:textId="77777777" w:rsidR="00D67D84" w:rsidRDefault="00D67D84">
                        <w:pPr>
                          <w:rPr>
                            <w:rFonts w:ascii="Times New Roman" w:eastAsia="Times New Roman" w:hAnsi="Times New Roman" w:cs="Times New Roman"/>
                            <w:sz w:val="20"/>
                            <w:szCs w:val="20"/>
                          </w:rPr>
                        </w:pPr>
                      </w:p>
                    </w:tc>
                    <w:tc>
                      <w:tcPr>
                        <w:tcW w:w="8700" w:type="dxa"/>
                        <w:vAlign w:val="center"/>
                        <w:hideMark/>
                      </w:tcPr>
                      <w:p w14:paraId="34E71DF7" w14:textId="77777777" w:rsidR="00D67D84" w:rsidRDefault="00D67D84">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21756F1D" w14:textId="77777777" w:rsidR="00D67D84" w:rsidRDefault="00D67D84">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B7D6447">
                            <v:rect id="_x0000_i1032" style="width:468pt;height:1.5pt" o:hralign="center" o:hrstd="t" o:hr="t" fillcolor="#a0a0a0" stroked="f"/>
                          </w:pict>
                        </w:r>
                      </w:p>
                      <w:p w14:paraId="313471F8" w14:textId="77777777" w:rsidR="00D67D84" w:rsidRDefault="00D67D84">
                        <w:pPr>
                          <w:pStyle w:val="Heading2"/>
                          <w:rPr>
                            <w:rFonts w:eastAsia="Times New Roman"/>
                          </w:rPr>
                        </w:pPr>
                        <w:r>
                          <w:rPr>
                            <w:rFonts w:eastAsia="Times New Roman"/>
                          </w:rPr>
                          <w:t>In today's update: Last week of daily emails; Flu Vac Service training requirements; recent medicine supply notifications.</w:t>
                        </w:r>
                      </w:p>
                      <w:p w14:paraId="4405070B" w14:textId="77777777" w:rsidR="00D67D84" w:rsidRDefault="00D67D84">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47CD0BC">
                            <v:rect id="_x0000_i1033" style="width:468pt;height:1.5pt" o:hralign="center" o:hrstd="t" o:hr="t" fillcolor="#a0a0a0" stroked="f"/>
                          </w:pict>
                        </w:r>
                      </w:p>
                      <w:p w14:paraId="0FEC0392" w14:textId="77777777" w:rsidR="00D67D84" w:rsidRDefault="00D67D84">
                        <w:pPr>
                          <w:pStyle w:val="Heading3"/>
                          <w:rPr>
                            <w:rFonts w:eastAsia="Times New Roman"/>
                          </w:rPr>
                        </w:pPr>
                        <w:r>
                          <w:rPr>
                            <w:rFonts w:eastAsia="Times New Roman"/>
                          </w:rPr>
                          <w:t>PSNC Daily Newsletter: Last Week of Daily Emails</w:t>
                        </w:r>
                      </w:p>
                      <w:p w14:paraId="6C51B1F5" w14:textId="5D62D890" w:rsidR="00D67D84" w:rsidRDefault="00D67D84" w:rsidP="0050646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will be the final week of PSNC’s daily newsletter to contractors, at least for the time being. We first introduced the daily updates back in March 2020 in response to the COVID-19 </w:t>
                        </w:r>
                        <w:proofErr w:type="gramStart"/>
                        <w:r>
                          <w:rPr>
                            <w:rFonts w:ascii="Tahoma" w:eastAsia="Times New Roman" w:hAnsi="Tahoma" w:cs="Tahoma"/>
                            <w:color w:val="303030"/>
                            <w:sz w:val="21"/>
                            <w:szCs w:val="21"/>
                          </w:rPr>
                          <w:t>pandemic, and</w:t>
                        </w:r>
                        <w:proofErr w:type="gramEnd"/>
                        <w:r>
                          <w:rPr>
                            <w:rFonts w:ascii="Tahoma" w:eastAsia="Times New Roman" w:hAnsi="Tahoma" w:cs="Tahoma"/>
                            <w:color w:val="303030"/>
                            <w:sz w:val="21"/>
                            <w:szCs w:val="21"/>
                          </w:rPr>
                          <w:t xml:space="preserve"> given the positive responses and consistently high open rates we have continued to produce them since then. </w:t>
                        </w:r>
                      </w:p>
                      <w:p w14:paraId="1524ED82" w14:textId="77777777" w:rsidR="00D67D84" w:rsidRDefault="00D67D84" w:rsidP="00506461">
                        <w:pPr>
                          <w:pStyle w:val="NormalWeb"/>
                          <w:spacing w:line="264" w:lineRule="auto"/>
                          <w:rPr>
                            <w:rFonts w:ascii="Tahoma" w:hAnsi="Tahoma" w:cs="Tahoma"/>
                            <w:color w:val="303030"/>
                            <w:sz w:val="21"/>
                            <w:szCs w:val="21"/>
                          </w:rPr>
                        </w:pPr>
                        <w:r>
                          <w:rPr>
                            <w:rFonts w:ascii="Tahoma" w:hAnsi="Tahoma" w:cs="Tahoma"/>
                            <w:color w:val="303030"/>
                            <w:sz w:val="21"/>
                            <w:szCs w:val="21"/>
                          </w:rPr>
                          <w:t>However, as the Government encourages us to return to a more normal day-to-day life, we expect that the frequency of our guidance and the necessary updates for contractors and LPCs will ease. With this in mind, and following consultation with LPCs, we have decided to reduce these emails down to twice a week: PSNC Email Newsletters will now be sent on </w:t>
                        </w:r>
                        <w:r>
                          <w:rPr>
                            <w:rStyle w:val="Strong"/>
                            <w:rFonts w:ascii="Tahoma" w:hAnsi="Tahoma" w:cs="Tahoma"/>
                            <w:color w:val="303030"/>
                            <w:sz w:val="21"/>
                            <w:szCs w:val="21"/>
                          </w:rPr>
                          <w:t>Tuesdays and Fridays.</w:t>
                        </w:r>
                      </w:p>
                      <w:p w14:paraId="44B83E1D" w14:textId="77777777" w:rsidR="00D67D84" w:rsidRDefault="00D67D84" w:rsidP="00506461">
                        <w:pPr>
                          <w:pStyle w:val="NormalWeb"/>
                          <w:spacing w:line="264" w:lineRule="auto"/>
                          <w:rPr>
                            <w:rFonts w:ascii="Tahoma" w:hAnsi="Tahoma" w:cs="Tahoma"/>
                            <w:color w:val="303030"/>
                            <w:sz w:val="21"/>
                            <w:szCs w:val="21"/>
                          </w:rPr>
                        </w:pPr>
                        <w:r>
                          <w:rPr>
                            <w:rStyle w:val="Strong"/>
                            <w:rFonts w:ascii="Tahoma" w:hAnsi="Tahoma" w:cs="Tahoma"/>
                            <w:color w:val="303030"/>
                            <w:sz w:val="21"/>
                            <w:szCs w:val="21"/>
                          </w:rPr>
                          <w:t>From w/c 2nd August 2021</w:t>
                        </w:r>
                        <w:r>
                          <w:rPr>
                            <w:rFonts w:ascii="Tahoma" w:hAnsi="Tahoma" w:cs="Tahoma"/>
                            <w:color w:val="303030"/>
                            <w:sz w:val="21"/>
                            <w:szCs w:val="21"/>
                          </w:rPr>
                          <w:t xml:space="preserve">, we will continue to add news to our website and post on our social media </w:t>
                        </w:r>
                        <w:proofErr w:type="gramStart"/>
                        <w:r>
                          <w:rPr>
                            <w:rFonts w:ascii="Tahoma" w:hAnsi="Tahoma" w:cs="Tahoma"/>
                            <w:color w:val="303030"/>
                            <w:sz w:val="21"/>
                            <w:szCs w:val="21"/>
                          </w:rPr>
                          <w:t>channels, but</w:t>
                        </w:r>
                        <w:proofErr w:type="gramEnd"/>
                        <w:r>
                          <w:rPr>
                            <w:rFonts w:ascii="Tahoma" w:hAnsi="Tahoma" w:cs="Tahoma"/>
                            <w:color w:val="303030"/>
                            <w:sz w:val="21"/>
                            <w:szCs w:val="21"/>
                          </w:rPr>
                          <w:t xml:space="preserve"> will only send planned newsletters on Tuesdays and Fridays. Should a significant piece of news be announced on another day, we will send a special email news alert out to ensure that you </w:t>
                        </w:r>
                        <w:proofErr w:type="gramStart"/>
                        <w:r>
                          <w:rPr>
                            <w:rFonts w:ascii="Tahoma" w:hAnsi="Tahoma" w:cs="Tahoma"/>
                            <w:color w:val="303030"/>
                            <w:sz w:val="21"/>
                            <w:szCs w:val="21"/>
                          </w:rPr>
                          <w:t>don't</w:t>
                        </w:r>
                        <w:proofErr w:type="gramEnd"/>
                        <w:r>
                          <w:rPr>
                            <w:rFonts w:ascii="Tahoma" w:hAnsi="Tahoma" w:cs="Tahoma"/>
                            <w:color w:val="303030"/>
                            <w:sz w:val="21"/>
                            <w:szCs w:val="21"/>
                          </w:rPr>
                          <w:t xml:space="preserve"> miss it. We will also continue to keep the situation under review – if we find we have too much news to keep our newsletters user-friendly, or if we receive negative feedback about the reduction in frequency, then we will consider a return to the daily emails.</w:t>
                        </w:r>
                      </w:p>
                      <w:p w14:paraId="6B33A69D" w14:textId="77777777" w:rsidR="00D67D84" w:rsidRDefault="00D67D84" w:rsidP="00506461">
                        <w:pPr>
                          <w:pStyle w:val="NormalWeb"/>
                          <w:spacing w:line="264" w:lineRule="auto"/>
                          <w:rPr>
                            <w:rFonts w:ascii="Tahoma" w:hAnsi="Tahoma" w:cs="Tahoma"/>
                            <w:color w:val="303030"/>
                            <w:sz w:val="21"/>
                            <w:szCs w:val="21"/>
                          </w:rPr>
                        </w:pPr>
                        <w:r>
                          <w:rPr>
                            <w:rFonts w:ascii="Tahoma" w:hAnsi="Tahoma" w:cs="Tahoma"/>
                            <w:color w:val="303030"/>
                            <w:sz w:val="21"/>
                            <w:szCs w:val="21"/>
                          </w:rPr>
                          <w:t xml:space="preserve">We hope this change will help to reduce the number of emails in your inbox whilst </w:t>
                        </w:r>
                        <w:proofErr w:type="gramStart"/>
                        <w:r>
                          <w:rPr>
                            <w:rFonts w:ascii="Tahoma" w:hAnsi="Tahoma" w:cs="Tahoma"/>
                            <w:color w:val="303030"/>
                            <w:sz w:val="21"/>
                            <w:szCs w:val="21"/>
                          </w:rPr>
                          <w:t>still keeping</w:t>
                        </w:r>
                        <w:proofErr w:type="gramEnd"/>
                        <w:r>
                          <w:rPr>
                            <w:rFonts w:ascii="Tahoma" w:hAnsi="Tahoma" w:cs="Tahoma"/>
                            <w:color w:val="303030"/>
                            <w:sz w:val="21"/>
                            <w:szCs w:val="21"/>
                          </w:rPr>
                          <w:t xml:space="preserve"> you up to date with key information in a timely and regular way. </w:t>
                        </w:r>
                      </w:p>
                      <w:p w14:paraId="378BCB33" w14:textId="341AFC68" w:rsidR="00D67D84" w:rsidRDefault="00D67D84" w:rsidP="00506461">
                        <w:pPr>
                          <w:pStyle w:val="NormalWeb"/>
                          <w:spacing w:line="264" w:lineRule="auto"/>
                          <w:rPr>
                            <w:rFonts w:ascii="Tahoma" w:hAnsi="Tahoma" w:cs="Tahoma"/>
                            <w:color w:val="303030"/>
                            <w:sz w:val="21"/>
                            <w:szCs w:val="21"/>
                          </w:rPr>
                        </w:pPr>
                        <w:r>
                          <w:rPr>
                            <w:rFonts w:ascii="Tahoma" w:hAnsi="Tahoma" w:cs="Tahoma"/>
                            <w:color w:val="303030"/>
                            <w:sz w:val="21"/>
                            <w:szCs w:val="21"/>
                          </w:rPr>
                          <w:t>Thank you for being subscribed to PSNC's emails and we hope you continue to find them useful. Please continue to send your feedback and views, particularly if you will miss the daily emails, to </w:t>
                        </w:r>
                        <w:hyperlink r:id="rId9" w:tgtFrame="_blank" w:history="1">
                          <w:r>
                            <w:rPr>
                              <w:rStyle w:val="Hyperlink"/>
                              <w:rFonts w:ascii="Tahoma" w:hAnsi="Tahoma" w:cs="Tahoma"/>
                              <w:b/>
                              <w:bCs/>
                              <w:color w:val="4E3487"/>
                              <w:sz w:val="21"/>
                              <w:szCs w:val="21"/>
                            </w:rPr>
                            <w:t>commsteam@psnc.org.uk</w:t>
                          </w:r>
                        </w:hyperlink>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Browse PSNC's Newsletter archive</w:t>
                          </w:r>
                        </w:hyperlink>
                      </w:p>
                      <w:p w14:paraId="0A51F16F" w14:textId="77777777" w:rsidR="00506461" w:rsidRDefault="00506461" w:rsidP="00506461">
                        <w:pPr>
                          <w:pStyle w:val="NormalWeb"/>
                          <w:spacing w:line="264" w:lineRule="auto"/>
                          <w:rPr>
                            <w:rFonts w:ascii="Tahoma" w:hAnsi="Tahoma" w:cs="Tahoma"/>
                            <w:color w:val="303030"/>
                            <w:sz w:val="21"/>
                            <w:szCs w:val="21"/>
                          </w:rPr>
                        </w:pPr>
                      </w:p>
                      <w:p w14:paraId="08FF283E" w14:textId="77777777" w:rsidR="00D67D84" w:rsidRDefault="00D67D84">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3609E14">
                            <v:rect id="_x0000_i1034" style="width:468pt;height:1.5pt" o:hralign="center" o:hrstd="t" o:hr="t" fillcolor="#a0a0a0" stroked="f"/>
                          </w:pict>
                        </w:r>
                      </w:p>
                      <w:p w14:paraId="3FB7754A" w14:textId="77777777" w:rsidR="00D67D84" w:rsidRDefault="00D67D84">
                        <w:pPr>
                          <w:pStyle w:val="Heading3"/>
                          <w:rPr>
                            <w:rFonts w:eastAsia="Times New Roman"/>
                          </w:rPr>
                        </w:pPr>
                        <w:r>
                          <w:rPr>
                            <w:rFonts w:eastAsia="Times New Roman"/>
                          </w:rPr>
                          <w:lastRenderedPageBreak/>
                          <w:t>Flu Vaccination Service training requirements</w:t>
                        </w:r>
                      </w:p>
                      <w:p w14:paraId="7C1B7C82" w14:textId="2FD0FA68" w:rsidR="00D67D84" w:rsidRDefault="00D67D84" w:rsidP="0050646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Normal​ training requirements for pharmacists providing the Flu Vaccination Service </w:t>
                        </w:r>
                        <w:hyperlink r:id="rId11" w:tgtFrame="_blank" w:history="1">
                          <w:r>
                            <w:rPr>
                              <w:rStyle w:val="Hyperlink"/>
                              <w:rFonts w:ascii="Tahoma" w:eastAsia="Times New Roman" w:hAnsi="Tahoma" w:cs="Tahoma"/>
                              <w:b/>
                              <w:bCs/>
                              <w:color w:val="4E3487"/>
                              <w:sz w:val="21"/>
                              <w:szCs w:val="21"/>
                            </w:rPr>
                            <w:t>are being reinstated for the 2021/22 season</w:t>
                          </w:r>
                        </w:hyperlink>
                        <w:r>
                          <w:rPr>
                            <w:rFonts w:ascii="Tahoma" w:eastAsia="Times New Roman" w:hAnsi="Tahoma" w:cs="Tahoma"/>
                            <w:color w:val="303030"/>
                            <w:sz w:val="21"/>
                            <w:szCs w:val="21"/>
                          </w:rPr>
                          <w:t xml:space="preserve">. </w:t>
                        </w:r>
                      </w:p>
                      <w:p w14:paraId="45848542" w14:textId="77777777" w:rsidR="00D67D84" w:rsidRDefault="00D67D84" w:rsidP="00506461">
                        <w:pPr>
                          <w:pStyle w:val="NormalWeb"/>
                          <w:spacing w:line="264" w:lineRule="auto"/>
                          <w:rPr>
                            <w:rFonts w:ascii="Tahoma" w:hAnsi="Tahoma" w:cs="Tahoma"/>
                            <w:color w:val="303030"/>
                            <w:sz w:val="21"/>
                            <w:szCs w:val="21"/>
                          </w:rPr>
                        </w:pPr>
                        <w:r>
                          <w:rPr>
                            <w:rFonts w:ascii="Tahoma" w:hAnsi="Tahoma" w:cs="Tahoma"/>
                            <w:color w:val="303030"/>
                            <w:sz w:val="21"/>
                            <w:szCs w:val="21"/>
                          </w:rPr>
                          <w:t>Pharmacists providing the Flu Vaccination Service must have attended face-to-face training for both injection technique and basic life support (including administration of adrenaline for anaphylaxis training) at least once in the last </w:t>
                        </w:r>
                        <w:r>
                          <w:rPr>
                            <w:rStyle w:val="Strong"/>
                            <w:rFonts w:ascii="Tahoma" w:hAnsi="Tahoma" w:cs="Tahoma"/>
                            <w:color w:val="303030"/>
                            <w:sz w:val="21"/>
                            <w:szCs w:val="21"/>
                          </w:rPr>
                          <w:t>three</w:t>
                        </w:r>
                        <w:r>
                          <w:rPr>
                            <w:rFonts w:ascii="Tahoma" w:hAnsi="Tahoma" w:cs="Tahoma"/>
                            <w:color w:val="303030"/>
                            <w:sz w:val="21"/>
                            <w:szCs w:val="21"/>
                          </w:rPr>
                          <w:t> years. In addition to this face-to-face training, pharmacists must have completed and signed the </w:t>
                        </w:r>
                        <w:hyperlink r:id="rId12" w:tgtFrame="_blank" w:history="1">
                          <w:r>
                            <w:rPr>
                              <w:rStyle w:val="Strong"/>
                              <w:rFonts w:ascii="Tahoma" w:hAnsi="Tahoma" w:cs="Tahoma"/>
                              <w:color w:val="4E3487"/>
                              <w:sz w:val="21"/>
                              <w:szCs w:val="21"/>
                            </w:rPr>
                            <w:t>Vaccination Services Declaration of Competence</w:t>
                          </w:r>
                        </w:hyperlink>
                        <w:r>
                          <w:rPr>
                            <w:rFonts w:ascii="Tahoma" w:hAnsi="Tahoma" w:cs="Tahoma"/>
                            <w:color w:val="303030"/>
                            <w:sz w:val="21"/>
                            <w:szCs w:val="21"/>
                          </w:rPr>
                          <w:t> (</w:t>
                        </w:r>
                        <w:proofErr w:type="spellStart"/>
                        <w:r>
                          <w:rPr>
                            <w:rFonts w:ascii="Tahoma" w:hAnsi="Tahoma" w:cs="Tahoma"/>
                            <w:color w:val="303030"/>
                            <w:sz w:val="21"/>
                            <w:szCs w:val="21"/>
                          </w:rPr>
                          <w:t>DoC</w:t>
                        </w:r>
                        <w:proofErr w:type="spellEnd"/>
                        <w:r>
                          <w:rPr>
                            <w:rFonts w:ascii="Tahoma" w:hAnsi="Tahoma" w:cs="Tahoma"/>
                            <w:color w:val="303030"/>
                            <w:sz w:val="21"/>
                            <w:szCs w:val="21"/>
                          </w:rPr>
                          <w:t>) within the last </w:t>
                        </w:r>
                        <w:r>
                          <w:rPr>
                            <w:rStyle w:val="Strong"/>
                            <w:rFonts w:ascii="Tahoma" w:hAnsi="Tahoma" w:cs="Tahoma"/>
                            <w:color w:val="303030"/>
                            <w:sz w:val="21"/>
                            <w:szCs w:val="21"/>
                          </w:rPr>
                          <w:t>two</w:t>
                        </w:r>
                        <w:r>
                          <w:rPr>
                            <w:rFonts w:ascii="Tahoma" w:hAnsi="Tahoma" w:cs="Tahoma"/>
                            <w:color w:val="303030"/>
                            <w:sz w:val="21"/>
                            <w:szCs w:val="21"/>
                          </w:rPr>
                          <w:t> years.</w:t>
                        </w:r>
                        <w:r>
                          <w:rPr>
                            <w:rFonts w:ascii="Tahoma" w:hAnsi="Tahoma" w:cs="Tahoma"/>
                            <w:color w:val="303030"/>
                            <w:sz w:val="21"/>
                            <w:szCs w:val="21"/>
                          </w:rPr>
                          <w:br/>
                        </w:r>
                        <w:r>
                          <w:rPr>
                            <w:rFonts w:ascii="Tahoma" w:hAnsi="Tahoma" w:cs="Tahoma"/>
                            <w:color w:val="303030"/>
                            <w:sz w:val="21"/>
                            <w:szCs w:val="21"/>
                          </w:rPr>
                          <w:br/>
                          <w:t>There is also an expectation for pharmacists to undertake annual update training each year to ensure their knowledge stays up to date with changes in practice and guidance. This may involve self-directed learning or online training.</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Learn more about the training requirements for the Flu Vaccination Service</w:t>
                          </w:r>
                        </w:hyperlink>
                      </w:p>
                      <w:p w14:paraId="07F8FC89" w14:textId="77777777" w:rsidR="00D67D84" w:rsidRDefault="00D67D84">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C9D40AE">
                            <v:rect id="_x0000_i1035" style="width:468pt;height:1.5pt" o:hralign="center" o:hrstd="t" o:hr="t" fillcolor="#a0a0a0" stroked="f"/>
                          </w:pict>
                        </w:r>
                      </w:p>
                      <w:p w14:paraId="75FCD926" w14:textId="77777777" w:rsidR="00D67D84" w:rsidRDefault="00D67D84">
                        <w:pPr>
                          <w:pStyle w:val="Heading3"/>
                          <w:rPr>
                            <w:rFonts w:eastAsia="Times New Roman"/>
                          </w:rPr>
                        </w:pPr>
                        <w:r>
                          <w:rPr>
                            <w:rFonts w:eastAsia="Times New Roman"/>
                          </w:rPr>
                          <w:t>New Medicine Supply Notifications issued</w:t>
                        </w:r>
                      </w:p>
                      <w:p w14:paraId="00238EA7" w14:textId="1A364A66" w:rsidR="00D67D84" w:rsidRDefault="00D67D84" w:rsidP="00D67D8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teams should note that the Department of Health and Social Care (DHSC) has issued Medicine Supply Notifications for the following products: </w:t>
                        </w:r>
                      </w:p>
                      <w:p w14:paraId="6F245C48" w14:textId="77777777" w:rsidR="00D67D84" w:rsidRDefault="00D67D84" w:rsidP="00423A2E">
                        <w:pPr>
                          <w:numPr>
                            <w:ilvl w:val="0"/>
                            <w:numId w:val="1"/>
                          </w:numPr>
                          <w:spacing w:before="100" w:beforeAutospacing="1" w:after="100" w:afterAutospacing="1" w:line="264" w:lineRule="auto"/>
                          <w:jc w:val="both"/>
                          <w:rPr>
                            <w:rFonts w:ascii="Tahoma" w:eastAsia="Times New Roman" w:hAnsi="Tahoma" w:cs="Tahoma"/>
                            <w:color w:val="303030"/>
                            <w:sz w:val="21"/>
                            <w:szCs w:val="21"/>
                          </w:rPr>
                        </w:pPr>
                        <w:hyperlink r:id="rId14" w:tgtFrame="_blank" w:history="1">
                          <w:proofErr w:type="spellStart"/>
                          <w:r>
                            <w:rPr>
                              <w:rStyle w:val="Hyperlink"/>
                              <w:rFonts w:ascii="Tahoma" w:eastAsia="Times New Roman" w:hAnsi="Tahoma" w:cs="Tahoma"/>
                              <w:b/>
                              <w:bCs/>
                              <w:color w:val="4E3487"/>
                              <w:sz w:val="21"/>
                              <w:szCs w:val="21"/>
                            </w:rPr>
                            <w:t>Locorten</w:t>
                          </w:r>
                          <w:proofErr w:type="spellEnd"/>
                          <w:r>
                            <w:rPr>
                              <w:rStyle w:val="Hyperlink"/>
                              <w:rFonts w:ascii="Tahoma" w:eastAsia="Times New Roman" w:hAnsi="Tahoma" w:cs="Tahoma"/>
                              <w:b/>
                              <w:bCs/>
                              <w:color w:val="4E3487"/>
                              <w:sz w:val="21"/>
                              <w:szCs w:val="21"/>
                            </w:rPr>
                            <w:t xml:space="preserve"> </w:t>
                          </w:r>
                          <w:proofErr w:type="spellStart"/>
                          <w:r>
                            <w:rPr>
                              <w:rStyle w:val="Hyperlink"/>
                              <w:rFonts w:ascii="Tahoma" w:eastAsia="Times New Roman" w:hAnsi="Tahoma" w:cs="Tahoma"/>
                              <w:b/>
                              <w:bCs/>
                              <w:color w:val="4E3487"/>
                              <w:sz w:val="21"/>
                              <w:szCs w:val="21"/>
                            </w:rPr>
                            <w:t>Vioform</w:t>
                          </w:r>
                          <w:proofErr w:type="spellEnd"/>
                          <w:r>
                            <w:rPr>
                              <w:rStyle w:val="Hyperlink"/>
                              <w:rFonts w:ascii="Tahoma" w:eastAsia="Times New Roman" w:hAnsi="Tahoma" w:cs="Tahoma"/>
                              <w:b/>
                              <w:bCs/>
                              <w:color w:val="4E3487"/>
                              <w:sz w:val="21"/>
                              <w:szCs w:val="21"/>
                            </w:rPr>
                            <w:t xml:space="preserve"> ear drops solution</w:t>
                          </w:r>
                        </w:hyperlink>
                      </w:p>
                      <w:p w14:paraId="60F5182A" w14:textId="77777777" w:rsidR="00D67D84" w:rsidRDefault="00D67D84" w:rsidP="00423A2E">
                        <w:pPr>
                          <w:numPr>
                            <w:ilvl w:val="0"/>
                            <w:numId w:val="1"/>
                          </w:numPr>
                          <w:spacing w:before="100" w:beforeAutospacing="1" w:after="100" w:afterAutospacing="1" w:line="264" w:lineRule="auto"/>
                          <w:jc w:val="both"/>
                          <w:rPr>
                            <w:rFonts w:ascii="Tahoma" w:eastAsia="Times New Roman" w:hAnsi="Tahoma" w:cs="Tahoma"/>
                            <w:color w:val="303030"/>
                            <w:sz w:val="21"/>
                            <w:szCs w:val="21"/>
                          </w:rPr>
                        </w:pPr>
                        <w:hyperlink r:id="rId15" w:tgtFrame="_blank" w:history="1">
                          <w:r>
                            <w:rPr>
                              <w:rStyle w:val="Hyperlink"/>
                              <w:rFonts w:ascii="Tahoma" w:eastAsia="Times New Roman" w:hAnsi="Tahoma" w:cs="Tahoma"/>
                              <w:b/>
                              <w:bCs/>
                              <w:color w:val="4E3487"/>
                              <w:sz w:val="21"/>
                              <w:szCs w:val="21"/>
                            </w:rPr>
                            <w:t>Catapres</w:t>
                          </w:r>
                        </w:hyperlink>
                        <w:hyperlink r:id="rId16" w:tgtFrame="_blank" w:history="1">
                          <w:r>
                            <w:rPr>
                              <w:rStyle w:val="Hyperlink"/>
                              <w:rFonts w:ascii="Tahoma" w:eastAsia="Times New Roman" w:hAnsi="Tahoma" w:cs="Tahoma"/>
                              <w:b/>
                              <w:bCs/>
                              <w:color w:val="4E3487"/>
                              <w:sz w:val="21"/>
                              <w:szCs w:val="21"/>
                            </w:rPr>
                            <w:t> 100mcg tablets</w:t>
                          </w:r>
                        </w:hyperlink>
                      </w:p>
                      <w:p w14:paraId="35ACDB99" w14:textId="77777777" w:rsidR="00D67D84" w:rsidRDefault="00D67D84" w:rsidP="00423A2E">
                        <w:pPr>
                          <w:numPr>
                            <w:ilvl w:val="0"/>
                            <w:numId w:val="1"/>
                          </w:numPr>
                          <w:spacing w:before="100" w:beforeAutospacing="1" w:after="100" w:afterAutospacing="1" w:line="264" w:lineRule="auto"/>
                          <w:jc w:val="both"/>
                          <w:rPr>
                            <w:rFonts w:ascii="Tahoma" w:eastAsia="Times New Roman" w:hAnsi="Tahoma" w:cs="Tahoma"/>
                            <w:color w:val="303030"/>
                            <w:sz w:val="21"/>
                            <w:szCs w:val="21"/>
                          </w:rPr>
                        </w:pPr>
                        <w:hyperlink r:id="rId17" w:tgtFrame="_blank" w:history="1">
                          <w:r>
                            <w:rPr>
                              <w:rStyle w:val="Strong"/>
                              <w:rFonts w:ascii="Tahoma" w:eastAsia="Times New Roman" w:hAnsi="Tahoma" w:cs="Tahoma"/>
                              <w:color w:val="4E3487"/>
                              <w:sz w:val="21"/>
                              <w:szCs w:val="21"/>
                            </w:rPr>
                            <w:t>Nexium 10mg gastro-resistant granules sachets</w:t>
                          </w:r>
                        </w:hyperlink>
                      </w:p>
                    </w:tc>
                    <w:tc>
                      <w:tcPr>
                        <w:tcW w:w="150" w:type="dxa"/>
                        <w:vAlign w:val="center"/>
                        <w:hideMark/>
                      </w:tcPr>
                      <w:p w14:paraId="43715C57" w14:textId="77777777" w:rsidR="00D67D84" w:rsidRDefault="00D67D84">
                        <w:pPr>
                          <w:rPr>
                            <w:rFonts w:ascii="Tahoma" w:eastAsia="Times New Roman" w:hAnsi="Tahoma" w:cs="Tahoma"/>
                            <w:color w:val="303030"/>
                            <w:sz w:val="21"/>
                            <w:szCs w:val="21"/>
                          </w:rPr>
                        </w:pPr>
                      </w:p>
                    </w:tc>
                  </w:tr>
                  <w:tr w:rsidR="00D67D84" w14:paraId="09B6EC9B" w14:textId="77777777">
                    <w:trPr>
                      <w:trHeight w:val="150"/>
                      <w:tblCellSpacing w:w="15" w:type="dxa"/>
                      <w:jc w:val="center"/>
                    </w:trPr>
                    <w:tc>
                      <w:tcPr>
                        <w:tcW w:w="150" w:type="dxa"/>
                        <w:vAlign w:val="center"/>
                        <w:hideMark/>
                      </w:tcPr>
                      <w:p w14:paraId="14EDD109" w14:textId="77777777" w:rsidR="00D67D84" w:rsidRDefault="00D67D84">
                        <w:pPr>
                          <w:rPr>
                            <w:rFonts w:ascii="Times New Roman" w:eastAsia="Times New Roman" w:hAnsi="Times New Roman" w:cs="Times New Roman"/>
                            <w:sz w:val="20"/>
                            <w:szCs w:val="20"/>
                          </w:rPr>
                        </w:pPr>
                      </w:p>
                    </w:tc>
                    <w:tc>
                      <w:tcPr>
                        <w:tcW w:w="8700" w:type="dxa"/>
                        <w:vAlign w:val="center"/>
                        <w:hideMark/>
                      </w:tcPr>
                      <w:p w14:paraId="02790BBB" w14:textId="77777777" w:rsidR="00D67D84" w:rsidRDefault="00D67D84">
                        <w:pPr>
                          <w:rPr>
                            <w:rFonts w:ascii="Times New Roman" w:eastAsia="Times New Roman" w:hAnsi="Times New Roman" w:cs="Times New Roman"/>
                            <w:sz w:val="20"/>
                            <w:szCs w:val="20"/>
                          </w:rPr>
                        </w:pPr>
                      </w:p>
                    </w:tc>
                    <w:tc>
                      <w:tcPr>
                        <w:tcW w:w="150" w:type="dxa"/>
                        <w:vAlign w:val="center"/>
                        <w:hideMark/>
                      </w:tcPr>
                      <w:p w14:paraId="78C3C704" w14:textId="77777777" w:rsidR="00D67D84" w:rsidRDefault="00D67D84">
                        <w:pPr>
                          <w:rPr>
                            <w:rFonts w:ascii="Times New Roman" w:eastAsia="Times New Roman" w:hAnsi="Times New Roman" w:cs="Times New Roman"/>
                            <w:sz w:val="20"/>
                            <w:szCs w:val="20"/>
                          </w:rPr>
                        </w:pPr>
                      </w:p>
                    </w:tc>
                  </w:tr>
                </w:tbl>
                <w:p w14:paraId="499F9BFF" w14:textId="77777777" w:rsidR="00D67D84" w:rsidRDefault="00D67D84">
                  <w:pPr>
                    <w:jc w:val="center"/>
                    <w:rPr>
                      <w:rFonts w:ascii="Times New Roman" w:eastAsia="Times New Roman" w:hAnsi="Times New Roman" w:cs="Times New Roman"/>
                      <w:sz w:val="20"/>
                      <w:szCs w:val="20"/>
                    </w:rPr>
                  </w:pPr>
                </w:p>
              </w:tc>
            </w:tr>
          </w:tbl>
          <w:p w14:paraId="5BE524CF" w14:textId="77777777" w:rsidR="00D67D84" w:rsidRDefault="00D67D84">
            <w:pPr>
              <w:jc w:val="center"/>
              <w:rPr>
                <w:rFonts w:ascii="Times New Roman" w:eastAsia="Times New Roman" w:hAnsi="Times New Roman" w:cs="Times New Roman"/>
                <w:sz w:val="20"/>
                <w:szCs w:val="20"/>
              </w:rPr>
            </w:pPr>
          </w:p>
        </w:tc>
      </w:tr>
      <w:tr w:rsidR="00D67D84" w14:paraId="293B5FBE" w14:textId="77777777" w:rsidTr="00D67D84">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67D84" w14:paraId="6F99C23F"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7D84" w14:paraId="4D631431" w14:textId="77777777">
                    <w:trPr>
                      <w:tblCellSpacing w:w="0" w:type="dxa"/>
                      <w:jc w:val="center"/>
                    </w:trPr>
                    <w:tc>
                      <w:tcPr>
                        <w:tcW w:w="3000" w:type="dxa"/>
                        <w:tcMar>
                          <w:top w:w="30" w:type="dxa"/>
                          <w:left w:w="75" w:type="dxa"/>
                          <w:bottom w:w="30" w:type="dxa"/>
                          <w:right w:w="75" w:type="dxa"/>
                        </w:tcMar>
                        <w:hideMark/>
                      </w:tcPr>
                      <w:p w14:paraId="2B02FEE7" w14:textId="77777777" w:rsidR="00D67D84" w:rsidRDefault="00D67D84">
                        <w:pPr>
                          <w:pStyle w:val="Heading4"/>
                          <w:jc w:val="center"/>
                          <w:rPr>
                            <w:rFonts w:eastAsia="Times New Roman"/>
                          </w:rPr>
                        </w:pPr>
                        <w:r>
                          <w:rPr>
                            <w:rFonts w:eastAsia="Times New Roman"/>
                          </w:rPr>
                          <w:lastRenderedPageBreak/>
                          <w:t>Pharmaceutical Services Negotiating Committee</w:t>
                        </w:r>
                      </w:p>
                      <w:p w14:paraId="2CF9A94E" w14:textId="35709EDC" w:rsidR="00D67D84" w:rsidRDefault="00D67D84">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7C71DC3" wp14:editId="676F572F">
                              <wp:extent cx="609600" cy="304800"/>
                              <wp:effectExtent l="0" t="0" r="0" b="0"/>
                              <wp:docPr id="5" name="Picture 5">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CCDB7C7" wp14:editId="5C47478C">
                              <wp:extent cx="609600" cy="304800"/>
                              <wp:effectExtent l="0" t="0" r="0" b="0"/>
                              <wp:docPr id="4" name="Picture 4">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B102388" wp14:editId="5DC31B8E">
                              <wp:extent cx="609600" cy="304800"/>
                              <wp:effectExtent l="0" t="0" r="0" b="0"/>
                              <wp:docPr id="3" name="Picture 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5301B3B" wp14:editId="74836471">
                              <wp:extent cx="609600" cy="304800"/>
                              <wp:effectExtent l="0" t="0" r="0" b="0"/>
                              <wp:docPr id="2" name="Picture 2">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0E0DBF6" w14:textId="77777777" w:rsidR="00D67D84" w:rsidRDefault="00D67D84">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0"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67D84" w14:paraId="458DBEF9" w14:textId="77777777">
                    <w:trPr>
                      <w:trHeight w:val="450"/>
                      <w:tblCellSpacing w:w="0" w:type="dxa"/>
                      <w:jc w:val="center"/>
                    </w:trPr>
                    <w:tc>
                      <w:tcPr>
                        <w:tcW w:w="9000" w:type="dxa"/>
                        <w:tcMar>
                          <w:top w:w="150" w:type="dxa"/>
                          <w:left w:w="0" w:type="dxa"/>
                          <w:bottom w:w="0" w:type="dxa"/>
                          <w:right w:w="0" w:type="dxa"/>
                        </w:tcMar>
                        <w:vAlign w:val="center"/>
                        <w:hideMark/>
                      </w:tcPr>
                      <w:p w14:paraId="6D0A7740" w14:textId="016EFEEC" w:rsidR="00D67D84" w:rsidRDefault="00D67D84" w:rsidP="00D67D84">
                        <w:pPr>
                          <w:rPr>
                            <w:rFonts w:ascii="Arial" w:eastAsia="Times New Roman" w:hAnsi="Arial" w:cs="Arial"/>
                            <w:color w:val="FFFFFF"/>
                            <w:sz w:val="17"/>
                            <w:szCs w:val="17"/>
                          </w:rPr>
                        </w:pPr>
                      </w:p>
                    </w:tc>
                  </w:tr>
                </w:tbl>
                <w:p w14:paraId="69E41F83" w14:textId="77777777" w:rsidR="00D67D84" w:rsidRDefault="00D67D84">
                  <w:pPr>
                    <w:jc w:val="center"/>
                    <w:rPr>
                      <w:rFonts w:ascii="Times New Roman" w:eastAsia="Times New Roman" w:hAnsi="Times New Roman" w:cs="Times New Roman"/>
                      <w:sz w:val="20"/>
                      <w:szCs w:val="20"/>
                    </w:rPr>
                  </w:pPr>
                </w:p>
              </w:tc>
            </w:tr>
          </w:tbl>
          <w:p w14:paraId="78BDED09" w14:textId="77777777" w:rsidR="00D67D84" w:rsidRDefault="00D67D84">
            <w:pPr>
              <w:jc w:val="center"/>
              <w:rPr>
                <w:rFonts w:ascii="Times New Roman" w:eastAsia="Times New Roman" w:hAnsi="Times New Roman" w:cs="Times New Roman"/>
                <w:sz w:val="20"/>
                <w:szCs w:val="20"/>
              </w:rPr>
            </w:pPr>
          </w:p>
        </w:tc>
      </w:tr>
    </w:tbl>
    <w:p w14:paraId="65D4BE09" w14:textId="7AA3225A" w:rsidR="00D67D84" w:rsidRDefault="00D67D84" w:rsidP="00D67D84">
      <w:pPr>
        <w:rPr>
          <w:rFonts w:eastAsia="Times New Roman"/>
        </w:rPr>
      </w:pPr>
      <w:r>
        <w:rPr>
          <w:rFonts w:eastAsia="Times New Roman"/>
          <w:noProof/>
        </w:rPr>
        <w:drawing>
          <wp:inline distT="0" distB="0" distL="0" distR="0" wp14:anchorId="019185F9" wp14:editId="0B774BC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BBD84E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B681C"/>
    <w:multiLevelType w:val="multilevel"/>
    <w:tmpl w:val="7D6C0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84"/>
    <w:rsid w:val="00506461"/>
    <w:rsid w:val="00D67D84"/>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1C34"/>
  <w15:chartTrackingRefBased/>
  <w15:docId w15:val="{6B4681FF-64F4-486B-B521-76AEB734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D84"/>
    <w:rPr>
      <w:rFonts w:ascii="Calibri" w:hAnsi="Calibri" w:cs="Calibri"/>
      <w:lang w:eastAsia="en-GB"/>
    </w:rPr>
  </w:style>
  <w:style w:type="paragraph" w:styleId="Heading1">
    <w:name w:val="heading 1"/>
    <w:basedOn w:val="Normal"/>
    <w:link w:val="Heading1Char"/>
    <w:uiPriority w:val="9"/>
    <w:qFormat/>
    <w:rsid w:val="00D67D84"/>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67D84"/>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D67D84"/>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D67D84"/>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D84"/>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67D84"/>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D67D84"/>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D67D84"/>
    <w:rPr>
      <w:rFonts w:ascii="Tahoma" w:hAnsi="Tahoma" w:cs="Tahoma"/>
      <w:b/>
      <w:bCs/>
      <w:color w:val="FFFFFF"/>
      <w:sz w:val="18"/>
      <w:szCs w:val="18"/>
      <w:lang w:eastAsia="en-GB"/>
    </w:rPr>
  </w:style>
  <w:style w:type="paragraph" w:styleId="NormalWeb">
    <w:name w:val="Normal (Web)"/>
    <w:basedOn w:val="Normal"/>
    <w:uiPriority w:val="99"/>
    <w:semiHidden/>
    <w:unhideWhenUsed/>
    <w:rsid w:val="00D67D84"/>
    <w:pPr>
      <w:spacing w:before="100" w:beforeAutospacing="1" w:after="100" w:afterAutospacing="1"/>
    </w:pPr>
  </w:style>
  <w:style w:type="character" w:styleId="Strong">
    <w:name w:val="Strong"/>
    <w:basedOn w:val="DefaultParagraphFont"/>
    <w:uiPriority w:val="22"/>
    <w:qFormat/>
    <w:rsid w:val="00D67D84"/>
    <w:rPr>
      <w:b/>
      <w:bCs/>
    </w:rPr>
  </w:style>
  <w:style w:type="character" w:styleId="Hyperlink">
    <w:name w:val="Hyperlink"/>
    <w:basedOn w:val="DefaultParagraphFont"/>
    <w:uiPriority w:val="99"/>
    <w:semiHidden/>
    <w:unhideWhenUsed/>
    <w:rsid w:val="00D67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7a8027e147&amp;e=d19e9fd41c" TargetMode="External"/><Relationship Id="rId18" Type="http://schemas.openxmlformats.org/officeDocument/2006/relationships/hyperlink" Target="https://psnc.us7.list-manage.com/track/click?u=86d41ab7fa4c7c2c5d7210782&amp;id=3f018137ac&amp;e=d19e9fd41c" TargetMode="External"/><Relationship Id="rId26" Type="http://schemas.openxmlformats.org/officeDocument/2006/relationships/image" Target="https://gallery.mailchimp.com/86d41ab7fa4c7c2c5d7210782/images/cd088afd-0ac0-4498-8ed1-e4199bf882ce.png"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d99eff0bde&amp;e=d19e9fd41c"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psnc.us7.list-manage.com/track/click?u=86d41ab7fa4c7c2c5d7210782&amp;id=17dc7aeb88&amp;e=d19e9fd41c" TargetMode="External"/><Relationship Id="rId17" Type="http://schemas.openxmlformats.org/officeDocument/2006/relationships/hyperlink" Target="https://psnc.us7.list-manage.com/track/click?u=86d41ab7fa4c7c2c5d7210782&amp;id=48434f653b&amp;e=d19e9fd41c"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fd5cf9648a&amp;e=d19e9fd41c" TargetMode="External"/><Relationship Id="rId20" Type="http://schemas.openxmlformats.org/officeDocument/2006/relationships/image" Target="https://gallery.mailchimp.com/86d41ab7fa4c7c2c5d7210782/images/5acd9cf1-bdba-4039-b74f-638b444ff5d8.png" TargetMode="External"/><Relationship Id="rId29" Type="http://schemas.openxmlformats.org/officeDocument/2006/relationships/image" Target="https://gallery.mailchimp.com/86d41ab7fa4c7c2c5d7210782/images/f5c0845f-f39c-425d-8d3c-deff11493c50.png"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f8a8b4cd23&amp;e=d19e9fd41c" TargetMode="External"/><Relationship Id="rId24" Type="http://schemas.openxmlformats.org/officeDocument/2006/relationships/hyperlink" Target="https://psnc.us7.list-manage.com/track/click?u=86d41ab7fa4c7c2c5d7210782&amp;id=ee54373a47&amp;e=d19e9fd41c" TargetMode="External"/><Relationship Id="rId32" Type="http://schemas.openxmlformats.org/officeDocument/2006/relationships/image" Target="https://psnc.us7.list-manage.com/track/open.php?u=86d41ab7fa4c7c2c5d7210782&amp;id=4152dfcbf4&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a8f61d93b9&amp;e=d19e9fd41c" TargetMode="External"/><Relationship Id="rId23" Type="http://schemas.openxmlformats.org/officeDocument/2006/relationships/image" Target="https://gallery.mailchimp.com/86d41ab7fa4c7c2c5d7210782/images/e1475f6b-1081-4509-ab25-9cd7f83d26b2.png" TargetMode="External"/><Relationship Id="rId28" Type="http://schemas.openxmlformats.org/officeDocument/2006/relationships/image" Target="media/image6.png"/><Relationship Id="rId10" Type="http://schemas.openxmlformats.org/officeDocument/2006/relationships/hyperlink" Target="https://psnc.us7.list-manage.com/track/click?u=86d41ab7fa4c7c2c5d7210782&amp;id=17010818ee&amp;e=d19e9fd41c" TargetMode="External"/><Relationship Id="rId19" Type="http://schemas.openxmlformats.org/officeDocument/2006/relationships/image" Target="media/image3.png"/><Relationship Id="rId31"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mailto:commsteam@psnc.org.uk" TargetMode="External"/><Relationship Id="rId14" Type="http://schemas.openxmlformats.org/officeDocument/2006/relationships/hyperlink" Target="https://psnc.us7.list-manage.com/track/click?u=86d41ab7fa4c7c2c5d7210782&amp;id=cf35962611&amp;e=d19e9fd41c" TargetMode="External"/><Relationship Id="rId22" Type="http://schemas.openxmlformats.org/officeDocument/2006/relationships/image" Target="media/image4.png"/><Relationship Id="rId27" Type="http://schemas.openxmlformats.org/officeDocument/2006/relationships/hyperlink" Target="https://psnc.us7.list-manage.com/track/click?u=86d41ab7fa4c7c2c5d7210782&amp;id=4dfaf3120e&amp;e=d19e9fd41c" TargetMode="External"/><Relationship Id="rId30"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2021-07-27T07:56:00Z</dcterms:created>
  <dcterms:modified xsi:type="dcterms:W3CDTF">2021-07-27T08:25:00Z</dcterms:modified>
</cp:coreProperties>
</file>