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623B2" w14:paraId="7E0AAC21" w14:textId="77777777" w:rsidTr="00C623B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623B2" w14:paraId="62BE724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623B2" w14:paraId="44DA133A" w14:textId="77777777">
                    <w:trPr>
                      <w:tblCellSpacing w:w="0" w:type="dxa"/>
                      <w:jc w:val="center"/>
                    </w:trPr>
                    <w:tc>
                      <w:tcPr>
                        <w:tcW w:w="3000" w:type="dxa"/>
                        <w:hideMark/>
                      </w:tcPr>
                      <w:p w14:paraId="7DD08DBA" w14:textId="615BAAB4" w:rsidR="00C623B2" w:rsidRDefault="00F46085" w:rsidP="00F46085">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D207F3E" w14:textId="77777777" w:rsidR="00C623B2" w:rsidRDefault="00C623B2">
                  <w:pPr>
                    <w:jc w:val="center"/>
                    <w:rPr>
                      <w:rFonts w:ascii="Times New Roman" w:eastAsia="Times New Roman" w:hAnsi="Times New Roman" w:cs="Times New Roman"/>
                      <w:sz w:val="20"/>
                      <w:szCs w:val="20"/>
                    </w:rPr>
                  </w:pPr>
                </w:p>
              </w:tc>
            </w:tr>
            <w:tr w:rsidR="00C623B2" w14:paraId="50CFC09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623B2" w14:paraId="7B1BCC9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AE8413E" w14:textId="249FA883" w:rsidR="00C623B2" w:rsidRDefault="00C623B2">
                        <w:pPr>
                          <w:jc w:val="center"/>
                          <w:rPr>
                            <w:rFonts w:eastAsia="Times New Roman"/>
                          </w:rPr>
                        </w:pPr>
                        <w:r>
                          <w:rPr>
                            <w:rFonts w:eastAsia="Times New Roman"/>
                            <w:noProof/>
                          </w:rPr>
                          <w:drawing>
                            <wp:inline distT="0" distB="0" distL="0" distR="0" wp14:anchorId="67B2C4D3" wp14:editId="5FE6643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623B2" w14:paraId="1726A8E9" w14:textId="77777777">
                    <w:trPr>
                      <w:tblCellSpacing w:w="0" w:type="dxa"/>
                    </w:trPr>
                    <w:tc>
                      <w:tcPr>
                        <w:tcW w:w="0" w:type="auto"/>
                        <w:vMerge/>
                        <w:tcBorders>
                          <w:top w:val="nil"/>
                          <w:left w:val="nil"/>
                          <w:bottom w:val="single" w:sz="2" w:space="0" w:color="FFFFFF"/>
                          <w:right w:val="nil"/>
                        </w:tcBorders>
                        <w:vAlign w:val="center"/>
                        <w:hideMark/>
                      </w:tcPr>
                      <w:p w14:paraId="74850B0E" w14:textId="77777777" w:rsidR="00C623B2" w:rsidRDefault="00C623B2">
                        <w:pPr>
                          <w:rPr>
                            <w:rFonts w:eastAsia="Times New Roman"/>
                          </w:rPr>
                        </w:pPr>
                      </w:p>
                    </w:tc>
                    <w:tc>
                      <w:tcPr>
                        <w:tcW w:w="3450" w:type="dxa"/>
                        <w:tcBorders>
                          <w:top w:val="nil"/>
                          <w:left w:val="nil"/>
                          <w:bottom w:val="nil"/>
                          <w:right w:val="nil"/>
                        </w:tcBorders>
                        <w:vAlign w:val="center"/>
                        <w:hideMark/>
                      </w:tcPr>
                      <w:p w14:paraId="2F06137F" w14:textId="77777777" w:rsidR="00C623B2" w:rsidRDefault="00C623B2">
                        <w:pPr>
                          <w:pStyle w:val="Heading1"/>
                          <w:rPr>
                            <w:rFonts w:eastAsia="Times New Roman"/>
                          </w:rPr>
                        </w:pPr>
                        <w:r>
                          <w:rPr>
                            <w:rFonts w:eastAsia="Times New Roman"/>
                          </w:rPr>
                          <w:t>PSNC Newsletter</w:t>
                        </w:r>
                      </w:p>
                    </w:tc>
                  </w:tr>
                  <w:tr w:rsidR="00C623B2" w14:paraId="716A61B2" w14:textId="77777777">
                    <w:trPr>
                      <w:tblCellSpacing w:w="0" w:type="dxa"/>
                    </w:trPr>
                    <w:tc>
                      <w:tcPr>
                        <w:tcW w:w="0" w:type="auto"/>
                        <w:vMerge/>
                        <w:tcBorders>
                          <w:top w:val="nil"/>
                          <w:left w:val="nil"/>
                          <w:bottom w:val="single" w:sz="2" w:space="0" w:color="FFFFFF"/>
                          <w:right w:val="nil"/>
                        </w:tcBorders>
                        <w:vAlign w:val="center"/>
                        <w:hideMark/>
                      </w:tcPr>
                      <w:p w14:paraId="412AA7D8" w14:textId="77777777" w:rsidR="00C623B2" w:rsidRDefault="00C623B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C75E1F6" w14:textId="77777777" w:rsidR="00C623B2" w:rsidRDefault="00C623B2">
                        <w:pPr>
                          <w:pStyle w:val="Heading2"/>
                          <w:rPr>
                            <w:rFonts w:eastAsia="Times New Roman"/>
                            <w:color w:val="93378A"/>
                          </w:rPr>
                        </w:pPr>
                        <w:r>
                          <w:rPr>
                            <w:rFonts w:eastAsia="Times New Roman"/>
                            <w:color w:val="93378A"/>
                          </w:rPr>
                          <w:t>Friday 10th September 2021</w:t>
                        </w:r>
                      </w:p>
                    </w:tc>
                  </w:tr>
                </w:tbl>
                <w:p w14:paraId="1932E6DF" w14:textId="77777777" w:rsidR="00C623B2" w:rsidRDefault="00C623B2">
                  <w:pPr>
                    <w:rPr>
                      <w:rFonts w:ascii="Times New Roman" w:eastAsia="Times New Roman" w:hAnsi="Times New Roman" w:cs="Times New Roman"/>
                      <w:sz w:val="20"/>
                      <w:szCs w:val="20"/>
                    </w:rPr>
                  </w:pPr>
                </w:p>
              </w:tc>
            </w:tr>
            <w:tr w:rsidR="00C623B2" w14:paraId="2F351EB8" w14:textId="77777777">
              <w:tblPrEx>
                <w:shd w:val="clear" w:color="auto" w:fill="auto"/>
              </w:tblPrEx>
              <w:trPr>
                <w:tblCellSpacing w:w="0" w:type="dxa"/>
                <w:jc w:val="center"/>
              </w:trPr>
              <w:tc>
                <w:tcPr>
                  <w:tcW w:w="9000" w:type="dxa"/>
                  <w:hideMark/>
                </w:tcPr>
                <w:p w14:paraId="4D1B666C" w14:textId="2F01B9A0" w:rsidR="00C623B2" w:rsidRDefault="00C623B2">
                  <w:pPr>
                    <w:rPr>
                      <w:rFonts w:eastAsia="Times New Roman"/>
                    </w:rPr>
                  </w:pPr>
                  <w:r>
                    <w:rPr>
                      <w:rFonts w:eastAsia="Times New Roman"/>
                      <w:noProof/>
                    </w:rPr>
                    <w:drawing>
                      <wp:inline distT="0" distB="0" distL="0" distR="0" wp14:anchorId="5035B3FC" wp14:editId="6E2C27D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623B2" w14:paraId="483640A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C623B2" w14:paraId="5EEA99D8" w14:textId="77777777">
                    <w:trPr>
                      <w:trHeight w:val="150"/>
                      <w:tblCellSpacing w:w="15" w:type="dxa"/>
                      <w:jc w:val="center"/>
                    </w:trPr>
                    <w:tc>
                      <w:tcPr>
                        <w:tcW w:w="150" w:type="dxa"/>
                        <w:vAlign w:val="center"/>
                        <w:hideMark/>
                      </w:tcPr>
                      <w:p w14:paraId="23E83863" w14:textId="77777777" w:rsidR="00C623B2" w:rsidRDefault="00C623B2">
                        <w:pPr>
                          <w:rPr>
                            <w:rFonts w:eastAsia="Times New Roman"/>
                          </w:rPr>
                        </w:pPr>
                      </w:p>
                    </w:tc>
                    <w:tc>
                      <w:tcPr>
                        <w:tcW w:w="8700" w:type="dxa"/>
                        <w:vAlign w:val="center"/>
                        <w:hideMark/>
                      </w:tcPr>
                      <w:p w14:paraId="1EC7E2A4" w14:textId="77777777" w:rsidR="00C623B2" w:rsidRDefault="00C623B2">
                        <w:pPr>
                          <w:rPr>
                            <w:rFonts w:ascii="Times New Roman" w:eastAsia="Times New Roman" w:hAnsi="Times New Roman" w:cs="Times New Roman"/>
                            <w:sz w:val="20"/>
                            <w:szCs w:val="20"/>
                          </w:rPr>
                        </w:pPr>
                      </w:p>
                    </w:tc>
                    <w:tc>
                      <w:tcPr>
                        <w:tcW w:w="150" w:type="dxa"/>
                        <w:vAlign w:val="center"/>
                        <w:hideMark/>
                      </w:tcPr>
                      <w:p w14:paraId="754E7BA7" w14:textId="77777777" w:rsidR="00C623B2" w:rsidRDefault="00C623B2">
                        <w:pPr>
                          <w:rPr>
                            <w:rFonts w:ascii="Times New Roman" w:eastAsia="Times New Roman" w:hAnsi="Times New Roman" w:cs="Times New Roman"/>
                            <w:sz w:val="20"/>
                            <w:szCs w:val="20"/>
                          </w:rPr>
                        </w:pPr>
                      </w:p>
                    </w:tc>
                  </w:tr>
                  <w:tr w:rsidR="00C623B2" w14:paraId="47B84097" w14:textId="77777777">
                    <w:trPr>
                      <w:tblCellSpacing w:w="15" w:type="dxa"/>
                      <w:jc w:val="center"/>
                    </w:trPr>
                    <w:tc>
                      <w:tcPr>
                        <w:tcW w:w="150" w:type="dxa"/>
                        <w:vAlign w:val="center"/>
                        <w:hideMark/>
                      </w:tcPr>
                      <w:p w14:paraId="691CEE20" w14:textId="77777777" w:rsidR="00C623B2" w:rsidRDefault="00C623B2" w:rsidP="00F46085">
                        <w:pPr>
                          <w:rPr>
                            <w:rFonts w:ascii="Times New Roman" w:eastAsia="Times New Roman" w:hAnsi="Times New Roman" w:cs="Times New Roman"/>
                            <w:sz w:val="20"/>
                            <w:szCs w:val="20"/>
                          </w:rPr>
                        </w:pPr>
                      </w:p>
                    </w:tc>
                    <w:tc>
                      <w:tcPr>
                        <w:tcW w:w="8700" w:type="dxa"/>
                        <w:vAlign w:val="center"/>
                        <w:hideMark/>
                      </w:tcPr>
                      <w:p w14:paraId="15E828BB"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066F3F04"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pict w14:anchorId="3746A283">
                            <v:rect id="_x0000_i1032" style="width:468pt;height:1.5pt" o:hrstd="t" o:hr="t" fillcolor="#a0a0a0" stroked="f"/>
                          </w:pict>
                        </w:r>
                      </w:p>
                      <w:p w14:paraId="74D12EF4" w14:textId="77777777" w:rsidR="00C623B2" w:rsidRDefault="00C623B2" w:rsidP="00F46085">
                        <w:pPr>
                          <w:pStyle w:val="Heading2"/>
                          <w:spacing w:after="0" w:line="240" w:lineRule="auto"/>
                          <w:rPr>
                            <w:rFonts w:eastAsia="Times New Roman"/>
                          </w:rPr>
                        </w:pPr>
                        <w:r>
                          <w:rPr>
                            <w:rFonts w:eastAsia="Times New Roman"/>
                          </w:rPr>
                          <w:t xml:space="preserve">In this update: Advance payments webinar; </w:t>
                        </w:r>
                        <w:proofErr w:type="spellStart"/>
                        <w:r>
                          <w:rPr>
                            <w:rFonts w:eastAsia="Times New Roman"/>
                          </w:rPr>
                          <w:t>PhAS</w:t>
                        </w:r>
                        <w:proofErr w:type="spellEnd"/>
                        <w:r>
                          <w:rPr>
                            <w:rFonts w:eastAsia="Times New Roman"/>
                          </w:rPr>
                          <w:t xml:space="preserve"> change letters; CPPE culturally competent campaign; help make our website better; latest PSNC Briefings.</w:t>
                        </w:r>
                      </w:p>
                      <w:p w14:paraId="180330D1"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pict w14:anchorId="2BD55EDF">
                            <v:rect id="_x0000_i1033" style="width:468pt;height:1.5pt" o:hrstd="t" o:hr="t" fillcolor="#a0a0a0" stroked="f"/>
                          </w:pict>
                        </w:r>
                      </w:p>
                      <w:p w14:paraId="4D74843D" w14:textId="77777777" w:rsidR="00C623B2" w:rsidRDefault="00C623B2" w:rsidP="00F46085">
                        <w:pPr>
                          <w:pStyle w:val="Heading3"/>
                          <w:spacing w:after="0" w:line="240" w:lineRule="auto"/>
                          <w:rPr>
                            <w:rFonts w:eastAsia="Times New Roman"/>
                          </w:rPr>
                        </w:pPr>
                        <w:r>
                          <w:rPr>
                            <w:rFonts w:eastAsia="Times New Roman"/>
                          </w:rPr>
                          <w:t>Book now for webinar on changes to advance payments</w:t>
                        </w:r>
                      </w:p>
                      <w:p w14:paraId="0A01E87D" w14:textId="41874AF4"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PSNC and the NHS Business Services Authority (NHSBSA) will be holding a joint webinar on the upcoming changes to advance payments and FP34C submission requirements.</w:t>
                        </w:r>
                      </w:p>
                      <w:p w14:paraId="7E534668" w14:textId="77777777" w:rsidR="00F46085" w:rsidRDefault="00F46085" w:rsidP="00F46085">
                        <w:pPr>
                          <w:pStyle w:val="NormalWeb"/>
                          <w:spacing w:before="0" w:beforeAutospacing="0" w:after="0" w:afterAutospacing="0"/>
                          <w:rPr>
                            <w:rFonts w:ascii="Tahoma" w:hAnsi="Tahoma" w:cs="Tahoma"/>
                            <w:color w:val="303030"/>
                            <w:sz w:val="21"/>
                            <w:szCs w:val="21"/>
                          </w:rPr>
                        </w:pPr>
                      </w:p>
                      <w:p w14:paraId="0640AC1A" w14:textId="77777777"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These changes which come into effect from November 2021 (for prescriptions dispensed in October 2021) coincides with the </w:t>
                        </w:r>
                        <w:hyperlink r:id="rId8" w:tgtFrame="_blank" w:history="1">
                          <w:r>
                            <w:rPr>
                              <w:rStyle w:val="Hyperlink"/>
                              <w:rFonts w:ascii="Tahoma" w:hAnsi="Tahoma" w:cs="Tahoma"/>
                              <w:b/>
                              <w:bCs/>
                              <w:color w:val="4E3487"/>
                              <w:sz w:val="21"/>
                              <w:szCs w:val="21"/>
                            </w:rPr>
                            <w:t>end of the Pharmacy Earlier Payment Scheme (PEPS),</w:t>
                          </w:r>
                        </w:hyperlink>
                        <w:r>
                          <w:rPr>
                            <w:rFonts w:ascii="Tahoma" w:hAnsi="Tahoma" w:cs="Tahoma"/>
                            <w:color w:val="303030"/>
                            <w:sz w:val="21"/>
                            <w:szCs w:val="21"/>
                          </w:rPr>
                          <w:t xml:space="preserve"> announced last month. The early advance payment timetable will benefit ALL contractors and should help any contractor using PEPS as they transition out of the scheme.</w:t>
                        </w:r>
                      </w:p>
                      <w:p w14:paraId="172FE762" w14:textId="77777777" w:rsidR="00F46085" w:rsidRDefault="00F46085" w:rsidP="00F46085">
                        <w:pPr>
                          <w:pStyle w:val="NormalWeb"/>
                          <w:spacing w:before="0" w:beforeAutospacing="0" w:after="0" w:afterAutospacing="0"/>
                          <w:rPr>
                            <w:rFonts w:ascii="Tahoma" w:hAnsi="Tahoma" w:cs="Tahoma"/>
                            <w:color w:val="303030"/>
                            <w:sz w:val="21"/>
                            <w:szCs w:val="21"/>
                          </w:rPr>
                        </w:pPr>
                      </w:p>
                      <w:p w14:paraId="7A1706C2" w14:textId="5BC106D4"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The webinar titled 'New advance payment timetable and FP34C submission requirements' is </w:t>
                        </w:r>
                        <w:proofErr w:type="gramStart"/>
                        <w:r>
                          <w:rPr>
                            <w:rFonts w:ascii="Tahoma" w:hAnsi="Tahoma" w:cs="Tahoma"/>
                            <w:color w:val="303030"/>
                            <w:sz w:val="21"/>
                            <w:szCs w:val="21"/>
                          </w:rPr>
                          <w:t>scheduled  for</w:t>
                        </w:r>
                        <w:proofErr w:type="gramEnd"/>
                        <w:r>
                          <w:rPr>
                            <w:rFonts w:ascii="Tahoma" w:hAnsi="Tahoma" w:cs="Tahoma"/>
                            <w:color w:val="303030"/>
                            <w:sz w:val="21"/>
                            <w:szCs w:val="21"/>
                          </w:rPr>
                          <w:t xml:space="preserve"> </w:t>
                        </w:r>
                        <w:r>
                          <w:rPr>
                            <w:rStyle w:val="Strong"/>
                            <w:rFonts w:ascii="Tahoma" w:hAnsi="Tahoma" w:cs="Tahoma"/>
                            <w:color w:val="303030"/>
                            <w:sz w:val="21"/>
                            <w:szCs w:val="21"/>
                          </w:rPr>
                          <w:t>Tuesday 5th October at 7.30pm</w:t>
                        </w:r>
                        <w:r>
                          <w:rPr>
                            <w:rFonts w:ascii="Tahoma" w:hAnsi="Tahoma" w:cs="Tahoma"/>
                            <w:color w:val="303030"/>
                            <w:sz w:val="21"/>
                            <w:szCs w:val="21"/>
                          </w:rPr>
                          <w:t>.</w:t>
                        </w:r>
                      </w:p>
                      <w:p w14:paraId="606B2BD9" w14:textId="77777777" w:rsidR="00C623B2" w:rsidRDefault="00C623B2" w:rsidP="00F46085">
                        <w:pPr>
                          <w:pStyle w:val="NormalWeb"/>
                          <w:spacing w:before="0" w:beforeAutospacing="0" w:after="0" w:afterAutospacing="0"/>
                          <w:rPr>
                            <w:rFonts w:ascii="Tahoma" w:hAnsi="Tahoma" w:cs="Tahoma"/>
                            <w:color w:val="303030"/>
                            <w:sz w:val="21"/>
                            <w:szCs w:val="21"/>
                          </w:rPr>
                        </w:pPr>
                        <w:hyperlink r:id="rId9" w:tgtFrame="_blank" w:history="1">
                          <w:r>
                            <w:rPr>
                              <w:rStyle w:val="Hyperlink"/>
                              <w:rFonts w:ascii="Tahoma" w:hAnsi="Tahoma" w:cs="Tahoma"/>
                              <w:b/>
                              <w:bCs/>
                              <w:color w:val="4E3487"/>
                              <w:sz w:val="21"/>
                              <w:szCs w:val="21"/>
                            </w:rPr>
                            <w:t xml:space="preserve">Register for the advance </w:t>
                          </w:r>
                          <w:proofErr w:type="gramStart"/>
                          <w:r>
                            <w:rPr>
                              <w:rStyle w:val="Hyperlink"/>
                              <w:rFonts w:ascii="Tahoma" w:hAnsi="Tahoma" w:cs="Tahoma"/>
                              <w:b/>
                              <w:bCs/>
                              <w:color w:val="4E3487"/>
                              <w:sz w:val="21"/>
                              <w:szCs w:val="21"/>
                            </w:rPr>
                            <w:t>payments</w:t>
                          </w:r>
                          <w:proofErr w:type="gramEnd"/>
                          <w:r>
                            <w:rPr>
                              <w:rStyle w:val="Hyperlink"/>
                              <w:rFonts w:ascii="Tahoma" w:hAnsi="Tahoma" w:cs="Tahoma"/>
                              <w:b/>
                              <w:bCs/>
                              <w:color w:val="4E3487"/>
                              <w:sz w:val="21"/>
                              <w:szCs w:val="21"/>
                            </w:rPr>
                            <w:t xml:space="preserve"> webinar</w:t>
                          </w:r>
                        </w:hyperlink>
                      </w:p>
                      <w:p w14:paraId="0A7E08EA"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pict w14:anchorId="33A55E57">
                            <v:rect id="_x0000_i1034" style="width:468pt;height:1.5pt" o:hrstd="t" o:hr="t" fillcolor="#a0a0a0" stroked="f"/>
                          </w:pict>
                        </w:r>
                      </w:p>
                      <w:p w14:paraId="2028ADC2" w14:textId="77777777" w:rsidR="00C623B2" w:rsidRDefault="00C623B2" w:rsidP="00F46085">
                        <w:pPr>
                          <w:pStyle w:val="Heading3"/>
                          <w:spacing w:after="0" w:line="240" w:lineRule="auto"/>
                          <w:rPr>
                            <w:rFonts w:eastAsia="Times New Roman"/>
                          </w:rPr>
                        </w:pPr>
                        <w:r>
                          <w:rPr>
                            <w:rFonts w:eastAsia="Times New Roman"/>
                          </w:rPr>
                          <w:t>Pharmacy Access Scheme: Changes from January 2022</w:t>
                        </w:r>
                      </w:p>
                      <w:p w14:paraId="539EC085" w14:textId="0C9A1E7D"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Currently, community pharmacy contractors are in the process of receiving one or more letters from the NHS Business Services Authority (NHSBSA) in relation to the </w:t>
                        </w:r>
                        <w:hyperlink r:id="rId10" w:tgtFrame="_blank" w:history="1">
                          <w:r>
                            <w:rPr>
                              <w:rStyle w:val="Hyperlink"/>
                              <w:rFonts w:ascii="Tahoma" w:hAnsi="Tahoma" w:cs="Tahoma"/>
                              <w:b/>
                              <w:bCs/>
                              <w:color w:val="4E3487"/>
                              <w:sz w:val="21"/>
                              <w:szCs w:val="21"/>
                            </w:rPr>
                            <w:t>updated 2022 Pharmacy Access Scheme (</w:t>
                          </w:r>
                          <w:proofErr w:type="spellStart"/>
                          <w:r>
                            <w:rPr>
                              <w:rStyle w:val="Hyperlink"/>
                              <w:rFonts w:ascii="Tahoma" w:hAnsi="Tahoma" w:cs="Tahoma"/>
                              <w:b/>
                              <w:bCs/>
                              <w:color w:val="4E3487"/>
                              <w:sz w:val="21"/>
                              <w:szCs w:val="21"/>
                            </w:rPr>
                            <w:t>PhAS</w:t>
                          </w:r>
                          <w:proofErr w:type="spellEnd"/>
                          <w:r>
                            <w:rPr>
                              <w:rStyle w:val="Hyperlink"/>
                              <w:rFonts w:ascii="Tahoma" w:hAnsi="Tahoma" w:cs="Tahoma"/>
                              <w:b/>
                              <w:bCs/>
                              <w:color w:val="4E3487"/>
                              <w:sz w:val="21"/>
                              <w:szCs w:val="21"/>
                            </w:rPr>
                            <w:t>)</w:t>
                          </w:r>
                        </w:hyperlink>
                        <w:r>
                          <w:rPr>
                            <w:rFonts w:ascii="Tahoma" w:hAnsi="Tahoma" w:cs="Tahoma"/>
                            <w:color w:val="303030"/>
                            <w:sz w:val="21"/>
                            <w:szCs w:val="21"/>
                          </w:rPr>
                          <w:t xml:space="preserve">, which starts in January 2022. Each letter will deal with a contractor's pharmacy or pharmacies indicating </w:t>
                        </w:r>
                        <w:proofErr w:type="gramStart"/>
                        <w:r>
                          <w:rPr>
                            <w:rFonts w:ascii="Tahoma" w:hAnsi="Tahoma" w:cs="Tahoma"/>
                            <w:color w:val="303030"/>
                            <w:sz w:val="21"/>
                            <w:szCs w:val="21"/>
                          </w:rPr>
                          <w:t>whether or not</w:t>
                        </w:r>
                        <w:proofErr w:type="gramEnd"/>
                        <w:r>
                          <w:rPr>
                            <w:rFonts w:ascii="Tahoma" w:hAnsi="Tahoma" w:cs="Tahoma"/>
                            <w:color w:val="303030"/>
                            <w:sz w:val="21"/>
                            <w:szCs w:val="21"/>
                          </w:rPr>
                          <w:t xml:space="preserve"> they will be eligible for the revised </w:t>
                        </w:r>
                        <w:proofErr w:type="spellStart"/>
                        <w:r>
                          <w:rPr>
                            <w:rFonts w:ascii="Tahoma" w:hAnsi="Tahoma" w:cs="Tahoma"/>
                            <w:color w:val="303030"/>
                            <w:sz w:val="21"/>
                            <w:szCs w:val="21"/>
                          </w:rPr>
                          <w:t>PhAS</w:t>
                        </w:r>
                        <w:proofErr w:type="spellEnd"/>
                        <w:r>
                          <w:rPr>
                            <w:rFonts w:ascii="Tahoma" w:hAnsi="Tahoma" w:cs="Tahoma"/>
                            <w:color w:val="303030"/>
                            <w:sz w:val="21"/>
                            <w:szCs w:val="21"/>
                          </w:rPr>
                          <w:t>.</w:t>
                        </w:r>
                      </w:p>
                      <w:p w14:paraId="0F904AEC" w14:textId="77777777" w:rsidR="00F46085" w:rsidRDefault="00F46085" w:rsidP="00F46085">
                        <w:pPr>
                          <w:pStyle w:val="NormalWeb"/>
                          <w:spacing w:before="0" w:beforeAutospacing="0" w:after="0" w:afterAutospacing="0"/>
                          <w:rPr>
                            <w:rFonts w:ascii="Tahoma" w:hAnsi="Tahoma" w:cs="Tahoma"/>
                            <w:color w:val="303030"/>
                            <w:sz w:val="21"/>
                            <w:szCs w:val="21"/>
                          </w:rPr>
                        </w:pPr>
                      </w:p>
                      <w:p w14:paraId="0C4C8E61" w14:textId="77777777" w:rsidR="00C623B2" w:rsidRDefault="00C623B2" w:rsidP="00F46085">
                        <w:pPr>
                          <w:pStyle w:val="NormalWeb"/>
                          <w:spacing w:before="0" w:beforeAutospacing="0" w:after="0" w:afterAutospacing="0"/>
                          <w:rPr>
                            <w:rFonts w:ascii="Tahoma" w:hAnsi="Tahoma" w:cs="Tahoma"/>
                            <w:color w:val="303030"/>
                            <w:sz w:val="21"/>
                            <w:szCs w:val="21"/>
                          </w:rPr>
                        </w:pPr>
                        <w:hyperlink r:id="rId11" w:tgtFrame="_blank" w:history="1">
                          <w:r>
                            <w:rPr>
                              <w:rStyle w:val="Hyperlink"/>
                              <w:rFonts w:ascii="Tahoma" w:hAnsi="Tahoma" w:cs="Tahoma"/>
                              <w:b/>
                              <w:bCs/>
                              <w:color w:val="4E3487"/>
                              <w:sz w:val="21"/>
                              <w:szCs w:val="21"/>
                            </w:rPr>
                            <w:t xml:space="preserve">Learn more about the changes to </w:t>
                          </w:r>
                          <w:proofErr w:type="spellStart"/>
                          <w:r>
                            <w:rPr>
                              <w:rStyle w:val="Hyperlink"/>
                              <w:rFonts w:ascii="Tahoma" w:hAnsi="Tahoma" w:cs="Tahoma"/>
                              <w:b/>
                              <w:bCs/>
                              <w:color w:val="4E3487"/>
                              <w:sz w:val="21"/>
                              <w:szCs w:val="21"/>
                            </w:rPr>
                            <w:t>PhAS</w:t>
                          </w:r>
                          <w:proofErr w:type="spellEnd"/>
                        </w:hyperlink>
                      </w:p>
                      <w:p w14:paraId="6FFECD77"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pict w14:anchorId="6A20F476">
                            <v:rect id="_x0000_i1035" style="width:468pt;height:1.5pt" o:hrstd="t" o:hr="t" fillcolor="#a0a0a0" stroked="f"/>
                          </w:pict>
                        </w:r>
                      </w:p>
                      <w:p w14:paraId="1D1D5135" w14:textId="77777777" w:rsidR="00C623B2" w:rsidRDefault="00C623B2" w:rsidP="00F46085">
                        <w:pPr>
                          <w:pStyle w:val="Heading3"/>
                          <w:spacing w:after="0" w:line="240" w:lineRule="auto"/>
                          <w:rPr>
                            <w:rFonts w:eastAsia="Times New Roman"/>
                          </w:rPr>
                        </w:pPr>
                        <w:r>
                          <w:rPr>
                            <w:rFonts w:eastAsia="Times New Roman"/>
                          </w:rPr>
                          <w:t>CPPE announces culturally competent learning campaign</w:t>
                        </w:r>
                      </w:p>
                      <w:p w14:paraId="08C12537" w14:textId="1B924C2A"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The Centre for Pharmacy Postgraduate Education (CPPE) has announced they are running a learning campaign, </w:t>
                        </w:r>
                        <w:hyperlink r:id="rId12" w:tgtFrame="_blank" w:history="1">
                          <w:r>
                            <w:rPr>
                              <w:rStyle w:val="Hyperlink"/>
                              <w:rFonts w:ascii="Tahoma" w:hAnsi="Tahoma" w:cs="Tahoma"/>
                              <w:b/>
                              <w:bCs/>
                              <w:color w:val="4E3487"/>
                              <w:sz w:val="21"/>
                              <w:szCs w:val="21"/>
                            </w:rPr>
                            <w:t>Seeing you better: Culturally competent person-centred care</w:t>
                          </w:r>
                        </w:hyperlink>
                        <w:r>
                          <w:rPr>
                            <w:rFonts w:ascii="Tahoma" w:hAnsi="Tahoma" w:cs="Tahoma"/>
                            <w:color w:val="303030"/>
                            <w:sz w:val="21"/>
                            <w:szCs w:val="21"/>
                          </w:rPr>
                          <w:t>, which will begin on Monday 13th September 2021.</w:t>
                        </w:r>
                      </w:p>
                      <w:p w14:paraId="5680AF1D" w14:textId="77777777" w:rsidR="00F46085" w:rsidRDefault="00F46085" w:rsidP="00F46085">
                        <w:pPr>
                          <w:pStyle w:val="NormalWeb"/>
                          <w:spacing w:before="0" w:beforeAutospacing="0" w:after="0" w:afterAutospacing="0"/>
                          <w:rPr>
                            <w:rFonts w:ascii="Tahoma" w:hAnsi="Tahoma" w:cs="Tahoma"/>
                            <w:color w:val="303030"/>
                            <w:sz w:val="21"/>
                            <w:szCs w:val="21"/>
                          </w:rPr>
                        </w:pPr>
                      </w:p>
                      <w:p w14:paraId="74BD62FA" w14:textId="77777777"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This four-week learning campaign aims to improve pharmacy professionals' knowledge about the experiences of people from different cultures to their own. It may also help support their work towards the 2021/22 Pharmacy Quality Scheme (PQS).</w:t>
                        </w:r>
                      </w:p>
                      <w:p w14:paraId="208B1346" w14:textId="77777777" w:rsidR="00C623B2" w:rsidRDefault="00C623B2" w:rsidP="00F46085">
                        <w:pPr>
                          <w:pStyle w:val="NormalWeb"/>
                          <w:spacing w:before="0" w:beforeAutospacing="0" w:after="0" w:afterAutospacing="0"/>
                          <w:rPr>
                            <w:rFonts w:ascii="Tahoma" w:hAnsi="Tahoma" w:cs="Tahoma"/>
                            <w:color w:val="303030"/>
                            <w:sz w:val="21"/>
                            <w:szCs w:val="21"/>
                          </w:rPr>
                        </w:pPr>
                        <w:hyperlink r:id="rId13" w:tgtFrame="_blank" w:history="1">
                          <w:r>
                            <w:rPr>
                              <w:rStyle w:val="Hyperlink"/>
                              <w:rFonts w:ascii="Tahoma" w:hAnsi="Tahoma" w:cs="Tahoma"/>
                              <w:b/>
                              <w:bCs/>
                              <w:color w:val="4E3487"/>
                              <w:sz w:val="21"/>
                              <w:szCs w:val="21"/>
                            </w:rPr>
                            <w:t>Learn more about the CPPE campaign and its relevance for PQS</w:t>
                          </w:r>
                        </w:hyperlink>
                      </w:p>
                      <w:p w14:paraId="126F210D"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pict w14:anchorId="0D4F504D">
                            <v:rect id="_x0000_i1036" style="width:468pt;height:1.5pt" o:hrstd="t" o:hr="t" fillcolor="#a0a0a0" stroked="f"/>
                          </w:pict>
                        </w:r>
                      </w:p>
                      <w:p w14:paraId="4C53A12D" w14:textId="77777777" w:rsidR="00C623B2" w:rsidRDefault="00C623B2" w:rsidP="00F46085">
                        <w:pPr>
                          <w:pStyle w:val="Heading3"/>
                          <w:spacing w:after="0" w:line="240" w:lineRule="auto"/>
                          <w:rPr>
                            <w:rFonts w:eastAsia="Times New Roman"/>
                          </w:rPr>
                        </w:pPr>
                        <w:r>
                          <w:rPr>
                            <w:rFonts w:eastAsia="Times New Roman"/>
                          </w:rPr>
                          <w:t>Help make our website easier to use</w:t>
                        </w:r>
                      </w:p>
                      <w:p w14:paraId="3F5B10B1" w14:textId="77777777"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This is your chance to feed directly into the blueprint of the new PSNC website, making it easier and quicker for you to find the information you need. Your responses to our </w:t>
                        </w:r>
                        <w:hyperlink r:id="rId14" w:tgtFrame="_blank" w:history="1">
                          <w:r>
                            <w:rPr>
                              <w:rStyle w:val="Hyperlink"/>
                              <w:rFonts w:ascii="Tahoma" w:hAnsi="Tahoma" w:cs="Tahoma"/>
                              <w:b/>
                              <w:bCs/>
                              <w:color w:val="4E3487"/>
                              <w:sz w:val="21"/>
                              <w:szCs w:val="21"/>
                            </w:rPr>
                            <w:t xml:space="preserve">website </w:t>
                          </w:r>
                          <w:r>
                            <w:rPr>
                              <w:rStyle w:val="Hyperlink"/>
                              <w:rFonts w:ascii="Tahoma" w:hAnsi="Tahoma" w:cs="Tahoma"/>
                              <w:b/>
                              <w:bCs/>
                              <w:color w:val="4E3487"/>
                              <w:sz w:val="21"/>
                              <w:szCs w:val="21"/>
                            </w:rPr>
                            <w:lastRenderedPageBreak/>
                            <w:t>reorganisation exercise</w:t>
                          </w:r>
                        </w:hyperlink>
                        <w:r>
                          <w:rPr>
                            <w:rFonts w:ascii="Tahoma" w:hAnsi="Tahoma" w:cs="Tahoma"/>
                            <w:color w:val="303030"/>
                            <w:sz w:val="21"/>
                            <w:szCs w:val="21"/>
                          </w:rPr>
                          <w:t xml:space="preserve"> will inform a remapping of our content and navigation menus, improvising the usability and usefulness of the site.</w:t>
                        </w:r>
                      </w:p>
                      <w:p w14:paraId="239C2BDF" w14:textId="77777777" w:rsidR="00C623B2" w:rsidRDefault="00C623B2" w:rsidP="00F46085">
                        <w:pPr>
                          <w:rPr>
                            <w:rFonts w:ascii="Tahoma" w:eastAsia="Times New Roman" w:hAnsi="Tahoma" w:cs="Tahoma"/>
                            <w:color w:val="303030"/>
                            <w:sz w:val="21"/>
                            <w:szCs w:val="21"/>
                          </w:rPr>
                        </w:pPr>
                        <w:r>
                          <w:rPr>
                            <w:rFonts w:ascii="Tahoma" w:eastAsia="Times New Roman" w:hAnsi="Tahoma" w:cs="Tahoma"/>
                            <w:color w:val="303030"/>
                            <w:sz w:val="21"/>
                            <w:szCs w:val="21"/>
                          </w:rPr>
                          <w:pict w14:anchorId="36C84FFF">
                            <v:rect id="_x0000_i1037" style="width:468pt;height:1.5pt" o:hrstd="t" o:hr="t" fillcolor="#a0a0a0" stroked="f"/>
                          </w:pict>
                        </w:r>
                      </w:p>
                      <w:p w14:paraId="394BCE1F" w14:textId="77777777" w:rsidR="00C623B2" w:rsidRDefault="00C623B2" w:rsidP="00F46085">
                        <w:pPr>
                          <w:pStyle w:val="Heading3"/>
                          <w:spacing w:after="0" w:line="240" w:lineRule="auto"/>
                          <w:rPr>
                            <w:rFonts w:eastAsia="Times New Roman"/>
                          </w:rPr>
                        </w:pPr>
                        <w:r>
                          <w:rPr>
                            <w:rFonts w:eastAsia="Times New Roman"/>
                          </w:rPr>
                          <w:t>Recent PSNC Briefings</w:t>
                        </w:r>
                      </w:p>
                      <w:p w14:paraId="2C2F5960" w14:textId="77777777" w:rsidR="00C623B2" w:rsidRDefault="00C623B2" w:rsidP="00F4608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The team at PSNC regularly issues briefings and factsheets which bring together key information and guidance on current topics. Below we have provided details of those published in the last week.</w:t>
                        </w:r>
                      </w:p>
                      <w:p w14:paraId="169AC6A6" w14:textId="77777777" w:rsidR="00F46085" w:rsidRDefault="00F46085" w:rsidP="00F46085">
                        <w:pPr>
                          <w:pStyle w:val="NormalWeb"/>
                          <w:spacing w:before="0" w:beforeAutospacing="0" w:after="0" w:afterAutospacing="0"/>
                          <w:rPr>
                            <w:rFonts w:ascii="Tahoma" w:hAnsi="Tahoma" w:cs="Tahoma"/>
                            <w:color w:val="303030"/>
                            <w:sz w:val="21"/>
                            <w:szCs w:val="21"/>
                          </w:rPr>
                        </w:pPr>
                      </w:p>
                      <w:p w14:paraId="2F8470BF" w14:textId="2D970B57" w:rsidR="00C623B2" w:rsidRDefault="00C623B2" w:rsidP="00F46085">
                        <w:pPr>
                          <w:pStyle w:val="NormalWeb"/>
                          <w:spacing w:before="0" w:beforeAutospacing="0" w:after="0" w:afterAutospacing="0"/>
                          <w:rPr>
                            <w:rFonts w:ascii="Tahoma" w:hAnsi="Tahoma" w:cs="Tahoma"/>
                            <w:color w:val="303030"/>
                            <w:sz w:val="21"/>
                            <w:szCs w:val="21"/>
                          </w:rPr>
                        </w:pPr>
                        <w:hyperlink r:id="rId15" w:tgtFrame="_blank" w:history="1">
                          <w:r>
                            <w:rPr>
                              <w:rStyle w:val="Hyperlink"/>
                              <w:rFonts w:ascii="Tahoma" w:hAnsi="Tahoma" w:cs="Tahoma"/>
                              <w:b/>
                              <w:bCs/>
                              <w:color w:val="4E3487"/>
                              <w:sz w:val="21"/>
                              <w:szCs w:val="21"/>
                            </w:rPr>
                            <w:t>PEPS cashflow briefing</w:t>
                          </w:r>
                        </w:hyperlink>
                        <w:r>
                          <w:rPr>
                            <w:rFonts w:ascii="Tahoma" w:hAnsi="Tahoma" w:cs="Tahoma"/>
                            <w:color w:val="303030"/>
                            <w:sz w:val="21"/>
                            <w:szCs w:val="21"/>
                          </w:rPr>
                          <w:br/>
                          <w:t>This briefing sets out the implications of the ending of the Pharmacy Earlier Payment Scheme (PEPS), along with the brought forward advances, for affected contractors.</w:t>
                        </w:r>
                      </w:p>
                      <w:p w14:paraId="4BA10CF2" w14:textId="77777777" w:rsidR="00F46085" w:rsidRDefault="00F46085" w:rsidP="00F46085">
                        <w:pPr>
                          <w:pStyle w:val="NormalWeb"/>
                          <w:spacing w:before="0" w:beforeAutospacing="0" w:after="0" w:afterAutospacing="0"/>
                          <w:rPr>
                            <w:rFonts w:ascii="Tahoma" w:hAnsi="Tahoma" w:cs="Tahoma"/>
                            <w:color w:val="303030"/>
                            <w:sz w:val="21"/>
                            <w:szCs w:val="21"/>
                          </w:rPr>
                        </w:pPr>
                      </w:p>
                      <w:p w14:paraId="06E6240F" w14:textId="4AC39111" w:rsidR="00C623B2" w:rsidRDefault="00C623B2" w:rsidP="00F46085">
                        <w:pPr>
                          <w:pStyle w:val="NormalWeb"/>
                          <w:spacing w:before="0" w:beforeAutospacing="0" w:after="0" w:afterAutospacing="0"/>
                          <w:rPr>
                            <w:rFonts w:ascii="Tahoma" w:hAnsi="Tahoma" w:cs="Tahoma"/>
                            <w:color w:val="303030"/>
                            <w:sz w:val="21"/>
                            <w:szCs w:val="21"/>
                          </w:rPr>
                        </w:pPr>
                        <w:hyperlink r:id="rId16" w:tgtFrame="_blank" w:history="1">
                          <w:r>
                            <w:rPr>
                              <w:rStyle w:val="Hyperlink"/>
                              <w:rFonts w:ascii="Tahoma" w:hAnsi="Tahoma" w:cs="Tahoma"/>
                              <w:b/>
                              <w:bCs/>
                              <w:color w:val="4E3487"/>
                              <w:sz w:val="21"/>
                              <w:szCs w:val="21"/>
                            </w:rPr>
                            <w:t>Older Smartcards and software reaching end-of life</w:t>
                          </w:r>
                        </w:hyperlink>
                        <w:r>
                          <w:rPr>
                            <w:rFonts w:ascii="Tahoma" w:hAnsi="Tahoma" w:cs="Tahoma"/>
                            <w:color w:val="303030"/>
                            <w:sz w:val="21"/>
                            <w:szCs w:val="21"/>
                          </w:rPr>
                          <w:br/>
                          <w:t>This factsheet explains how pharmacy team members can check if they have an older NHS Smartcard needing replacement.</w:t>
                        </w:r>
                      </w:p>
                      <w:p w14:paraId="020AEDE0" w14:textId="77777777" w:rsidR="00F46085" w:rsidRDefault="00F46085" w:rsidP="00F46085">
                        <w:pPr>
                          <w:pStyle w:val="NormalWeb"/>
                          <w:spacing w:before="0" w:beforeAutospacing="0" w:after="0" w:afterAutospacing="0"/>
                          <w:rPr>
                            <w:rFonts w:ascii="Tahoma" w:hAnsi="Tahoma" w:cs="Tahoma"/>
                            <w:color w:val="303030"/>
                            <w:sz w:val="21"/>
                            <w:szCs w:val="21"/>
                          </w:rPr>
                        </w:pPr>
                      </w:p>
                      <w:p w14:paraId="460210AA" w14:textId="7C7A7C99" w:rsidR="00C623B2" w:rsidRDefault="00C623B2" w:rsidP="00F46085">
                        <w:pPr>
                          <w:pStyle w:val="NormalWeb"/>
                          <w:spacing w:before="0" w:beforeAutospacing="0" w:after="0" w:afterAutospacing="0"/>
                          <w:rPr>
                            <w:rFonts w:ascii="Tahoma" w:hAnsi="Tahoma" w:cs="Tahoma"/>
                            <w:color w:val="303030"/>
                            <w:sz w:val="21"/>
                            <w:szCs w:val="21"/>
                          </w:rPr>
                        </w:pPr>
                        <w:hyperlink r:id="rId17" w:tgtFrame="_blank" w:history="1">
                          <w:r>
                            <w:rPr>
                              <w:rStyle w:val="Hyperlink"/>
                              <w:rFonts w:ascii="Tahoma" w:hAnsi="Tahoma" w:cs="Tahoma"/>
                              <w:b/>
                              <w:bCs/>
                              <w:color w:val="4E3487"/>
                              <w:sz w:val="21"/>
                              <w:szCs w:val="21"/>
                            </w:rPr>
                            <w:t>Pharmacy Quality Scheme (PQS) – Asthma referrals</w:t>
                          </w:r>
                        </w:hyperlink>
                        <w:r>
                          <w:rPr>
                            <w:rFonts w:ascii="Tahoma" w:hAnsi="Tahoma" w:cs="Tahoma"/>
                            <w:color w:val="303030"/>
                            <w:sz w:val="21"/>
                            <w:szCs w:val="21"/>
                          </w:rPr>
                          <w:br/>
                          <w:t>Guidance for the 2021/22 PQS on meeting the Personalised asthma action plans and promoting spacer device use in children prescribed pressurised metered dose inhalers (</w:t>
                        </w:r>
                        <w:proofErr w:type="spellStart"/>
                        <w:r>
                          <w:rPr>
                            <w:rFonts w:ascii="Tahoma" w:hAnsi="Tahoma" w:cs="Tahoma"/>
                            <w:color w:val="303030"/>
                            <w:sz w:val="21"/>
                            <w:szCs w:val="21"/>
                          </w:rPr>
                          <w:t>pMDIs</w:t>
                        </w:r>
                        <w:proofErr w:type="spellEnd"/>
                        <w:r>
                          <w:rPr>
                            <w:rFonts w:ascii="Tahoma" w:hAnsi="Tahoma" w:cs="Tahoma"/>
                            <w:color w:val="303030"/>
                            <w:sz w:val="21"/>
                            <w:szCs w:val="21"/>
                          </w:rPr>
                          <w:t>) criterion, which is part of the Respiratory domain.</w:t>
                        </w:r>
                      </w:p>
                      <w:p w14:paraId="57174C13" w14:textId="77777777" w:rsidR="00F46085" w:rsidRDefault="00F46085" w:rsidP="00F46085">
                        <w:pPr>
                          <w:pStyle w:val="NormalWeb"/>
                          <w:spacing w:before="0" w:beforeAutospacing="0" w:after="0" w:afterAutospacing="0"/>
                          <w:rPr>
                            <w:rFonts w:ascii="Tahoma" w:hAnsi="Tahoma" w:cs="Tahoma"/>
                            <w:color w:val="303030"/>
                            <w:sz w:val="21"/>
                            <w:szCs w:val="21"/>
                          </w:rPr>
                        </w:pPr>
                      </w:p>
                      <w:p w14:paraId="584632F5" w14:textId="78545A40" w:rsidR="00C623B2" w:rsidRDefault="00C623B2" w:rsidP="00F46085">
                        <w:pPr>
                          <w:pStyle w:val="NormalWeb"/>
                          <w:spacing w:before="0" w:beforeAutospacing="0" w:after="0" w:afterAutospacing="0"/>
                          <w:rPr>
                            <w:rFonts w:ascii="Tahoma" w:hAnsi="Tahoma" w:cs="Tahoma"/>
                            <w:color w:val="303030"/>
                            <w:sz w:val="21"/>
                            <w:szCs w:val="21"/>
                          </w:rPr>
                        </w:pPr>
                        <w:hyperlink r:id="rId18" w:tgtFrame="_blank" w:history="1">
                          <w:r>
                            <w:rPr>
                              <w:rStyle w:val="Hyperlink"/>
                              <w:rFonts w:ascii="Tahoma" w:hAnsi="Tahoma" w:cs="Tahoma"/>
                              <w:b/>
                              <w:bCs/>
                              <w:color w:val="4E3487"/>
                              <w:sz w:val="21"/>
                              <w:szCs w:val="21"/>
                            </w:rPr>
                            <w:t>Briefing for GP teams: 2021/22 changes to NHS community pharmacy contract</w:t>
                          </w:r>
                        </w:hyperlink>
                        <w:r>
                          <w:rPr>
                            <w:rFonts w:ascii="Tahoma" w:hAnsi="Tahoma" w:cs="Tahoma"/>
                            <w:color w:val="303030"/>
                            <w:sz w:val="21"/>
                            <w:szCs w:val="21"/>
                          </w:rPr>
                          <w:br/>
                          <w:t>A two-page summary Briefing for general practice teams on the main changes to the New Medicine Service, information on the Hypertension case-finding service and the revised Pharmacy Quality Scheme.</w:t>
                        </w:r>
                      </w:p>
                    </w:tc>
                    <w:tc>
                      <w:tcPr>
                        <w:tcW w:w="150" w:type="dxa"/>
                        <w:vAlign w:val="center"/>
                        <w:hideMark/>
                      </w:tcPr>
                      <w:p w14:paraId="181DBBBF" w14:textId="77777777" w:rsidR="00C623B2" w:rsidRDefault="00C623B2">
                        <w:pPr>
                          <w:rPr>
                            <w:rFonts w:ascii="Tahoma" w:hAnsi="Tahoma" w:cs="Tahoma"/>
                            <w:color w:val="303030"/>
                            <w:sz w:val="21"/>
                            <w:szCs w:val="21"/>
                          </w:rPr>
                        </w:pPr>
                      </w:p>
                    </w:tc>
                  </w:tr>
                  <w:tr w:rsidR="00C623B2" w14:paraId="41B3C8DB" w14:textId="77777777">
                    <w:trPr>
                      <w:trHeight w:val="150"/>
                      <w:tblCellSpacing w:w="15" w:type="dxa"/>
                      <w:jc w:val="center"/>
                    </w:trPr>
                    <w:tc>
                      <w:tcPr>
                        <w:tcW w:w="150" w:type="dxa"/>
                        <w:vAlign w:val="center"/>
                        <w:hideMark/>
                      </w:tcPr>
                      <w:p w14:paraId="0292AF29" w14:textId="77777777" w:rsidR="00C623B2" w:rsidRDefault="00C623B2" w:rsidP="00F46085">
                        <w:pPr>
                          <w:rPr>
                            <w:rFonts w:ascii="Times New Roman" w:eastAsia="Times New Roman" w:hAnsi="Times New Roman" w:cs="Times New Roman"/>
                            <w:sz w:val="20"/>
                            <w:szCs w:val="20"/>
                          </w:rPr>
                        </w:pPr>
                      </w:p>
                    </w:tc>
                    <w:tc>
                      <w:tcPr>
                        <w:tcW w:w="8700" w:type="dxa"/>
                        <w:vAlign w:val="center"/>
                        <w:hideMark/>
                      </w:tcPr>
                      <w:p w14:paraId="50566440" w14:textId="77777777" w:rsidR="00C623B2" w:rsidRDefault="00C623B2" w:rsidP="00F46085">
                        <w:pPr>
                          <w:rPr>
                            <w:rFonts w:ascii="Times New Roman" w:eastAsia="Times New Roman" w:hAnsi="Times New Roman" w:cs="Times New Roman"/>
                            <w:sz w:val="20"/>
                            <w:szCs w:val="20"/>
                          </w:rPr>
                        </w:pPr>
                      </w:p>
                    </w:tc>
                    <w:tc>
                      <w:tcPr>
                        <w:tcW w:w="150" w:type="dxa"/>
                        <w:vAlign w:val="center"/>
                        <w:hideMark/>
                      </w:tcPr>
                      <w:p w14:paraId="1D50D979" w14:textId="77777777" w:rsidR="00C623B2" w:rsidRDefault="00C623B2">
                        <w:pPr>
                          <w:rPr>
                            <w:rFonts w:ascii="Times New Roman" w:eastAsia="Times New Roman" w:hAnsi="Times New Roman" w:cs="Times New Roman"/>
                            <w:sz w:val="20"/>
                            <w:szCs w:val="20"/>
                          </w:rPr>
                        </w:pPr>
                      </w:p>
                    </w:tc>
                  </w:tr>
                </w:tbl>
                <w:p w14:paraId="292D417E" w14:textId="77777777" w:rsidR="00C623B2" w:rsidRDefault="00C623B2">
                  <w:pPr>
                    <w:jc w:val="center"/>
                    <w:rPr>
                      <w:rFonts w:ascii="Times New Roman" w:eastAsia="Times New Roman" w:hAnsi="Times New Roman" w:cs="Times New Roman"/>
                      <w:sz w:val="20"/>
                      <w:szCs w:val="20"/>
                    </w:rPr>
                  </w:pPr>
                </w:p>
              </w:tc>
            </w:tr>
          </w:tbl>
          <w:p w14:paraId="645A7A17" w14:textId="77777777" w:rsidR="00C623B2" w:rsidRDefault="00C623B2">
            <w:pPr>
              <w:jc w:val="center"/>
              <w:rPr>
                <w:rFonts w:ascii="Times New Roman" w:eastAsia="Times New Roman" w:hAnsi="Times New Roman" w:cs="Times New Roman"/>
                <w:sz w:val="20"/>
                <w:szCs w:val="20"/>
              </w:rPr>
            </w:pPr>
          </w:p>
        </w:tc>
      </w:tr>
      <w:tr w:rsidR="00C623B2" w14:paraId="1535FB6A" w14:textId="77777777" w:rsidTr="00C623B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623B2" w14:paraId="3179AB2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623B2" w14:paraId="2CC4EE06" w14:textId="77777777">
                    <w:trPr>
                      <w:tblCellSpacing w:w="0" w:type="dxa"/>
                      <w:jc w:val="center"/>
                    </w:trPr>
                    <w:tc>
                      <w:tcPr>
                        <w:tcW w:w="3000" w:type="dxa"/>
                        <w:tcMar>
                          <w:top w:w="30" w:type="dxa"/>
                          <w:left w:w="75" w:type="dxa"/>
                          <w:bottom w:w="30" w:type="dxa"/>
                          <w:right w:w="75" w:type="dxa"/>
                        </w:tcMar>
                        <w:hideMark/>
                      </w:tcPr>
                      <w:p w14:paraId="7A7A5DC7" w14:textId="77777777" w:rsidR="00C623B2" w:rsidRDefault="00C623B2">
                        <w:pPr>
                          <w:pStyle w:val="Heading4"/>
                          <w:jc w:val="center"/>
                          <w:rPr>
                            <w:rFonts w:eastAsia="Times New Roman"/>
                          </w:rPr>
                        </w:pPr>
                        <w:r>
                          <w:rPr>
                            <w:rFonts w:eastAsia="Times New Roman"/>
                          </w:rPr>
                          <w:lastRenderedPageBreak/>
                          <w:t>Pharmaceutical Services Negotiating Committee</w:t>
                        </w:r>
                      </w:p>
                      <w:p w14:paraId="436C9BCC" w14:textId="0D996E9A" w:rsidR="00C623B2" w:rsidRDefault="00C623B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DB1C20D" wp14:editId="7F7A303C">
                              <wp:extent cx="609600" cy="304800"/>
                              <wp:effectExtent l="0" t="0" r="0" b="0"/>
                              <wp:docPr id="5" name="Picture 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76E5372" wp14:editId="09028B06">
                              <wp:extent cx="609600" cy="304800"/>
                              <wp:effectExtent l="0" t="0" r="0" b="0"/>
                              <wp:docPr id="4" name="Picture 4">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E843DBE" wp14:editId="0823D56C">
                              <wp:extent cx="609600" cy="304800"/>
                              <wp:effectExtent l="0" t="0" r="0" b="0"/>
                              <wp:docPr id="3" name="Picture 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2416922" wp14:editId="29388D0F">
                              <wp:extent cx="609600" cy="304800"/>
                              <wp:effectExtent l="0" t="0" r="0" b="0"/>
                              <wp:docPr id="2" name="Picture 2">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8A1A85E" w14:textId="77777777" w:rsidR="00C623B2" w:rsidRDefault="00C623B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1"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623B2" w14:paraId="13BF0810" w14:textId="77777777" w:rsidTr="00F46085">
                    <w:trPr>
                      <w:trHeight w:val="20"/>
                      <w:tblCellSpacing w:w="0" w:type="dxa"/>
                      <w:jc w:val="center"/>
                    </w:trPr>
                    <w:tc>
                      <w:tcPr>
                        <w:tcW w:w="9000" w:type="dxa"/>
                        <w:tcMar>
                          <w:top w:w="150" w:type="dxa"/>
                          <w:left w:w="0" w:type="dxa"/>
                          <w:bottom w:w="0" w:type="dxa"/>
                          <w:right w:w="0" w:type="dxa"/>
                        </w:tcMar>
                        <w:vAlign w:val="center"/>
                        <w:hideMark/>
                      </w:tcPr>
                      <w:p w14:paraId="19EC27C9" w14:textId="7FB9C908" w:rsidR="00C623B2" w:rsidRDefault="00C623B2" w:rsidP="00F46085">
                        <w:pPr>
                          <w:rPr>
                            <w:rFonts w:ascii="Arial" w:eastAsia="Times New Roman" w:hAnsi="Arial" w:cs="Arial"/>
                            <w:color w:val="FFFFFF"/>
                            <w:sz w:val="17"/>
                            <w:szCs w:val="17"/>
                          </w:rPr>
                        </w:pPr>
                      </w:p>
                    </w:tc>
                  </w:tr>
                </w:tbl>
                <w:p w14:paraId="22A51093" w14:textId="77777777" w:rsidR="00C623B2" w:rsidRDefault="00C623B2">
                  <w:pPr>
                    <w:jc w:val="center"/>
                    <w:rPr>
                      <w:rFonts w:ascii="Times New Roman" w:eastAsia="Times New Roman" w:hAnsi="Times New Roman" w:cs="Times New Roman"/>
                      <w:sz w:val="20"/>
                      <w:szCs w:val="20"/>
                    </w:rPr>
                  </w:pPr>
                </w:p>
              </w:tc>
            </w:tr>
          </w:tbl>
          <w:p w14:paraId="23A893AC" w14:textId="77777777" w:rsidR="00C623B2" w:rsidRDefault="00C623B2">
            <w:pPr>
              <w:jc w:val="center"/>
              <w:rPr>
                <w:rFonts w:ascii="Times New Roman" w:eastAsia="Times New Roman" w:hAnsi="Times New Roman" w:cs="Times New Roman"/>
                <w:sz w:val="20"/>
                <w:szCs w:val="20"/>
              </w:rPr>
            </w:pPr>
          </w:p>
        </w:tc>
      </w:tr>
    </w:tbl>
    <w:p w14:paraId="52FAC163" w14:textId="128F40B0" w:rsidR="00C623B2" w:rsidRDefault="00C623B2" w:rsidP="00C623B2">
      <w:pPr>
        <w:rPr>
          <w:rFonts w:eastAsia="Times New Roman"/>
        </w:rPr>
      </w:pPr>
      <w:r>
        <w:rPr>
          <w:rFonts w:eastAsia="Times New Roman"/>
          <w:noProof/>
        </w:rPr>
        <w:drawing>
          <wp:inline distT="0" distB="0" distL="0" distR="0" wp14:anchorId="226AFF4A" wp14:editId="43AB029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BE6301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B2"/>
    <w:rsid w:val="00C623B2"/>
    <w:rsid w:val="00DD1890"/>
    <w:rsid w:val="00F4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E5EA"/>
  <w15:chartTrackingRefBased/>
  <w15:docId w15:val="{1653400A-3E05-4E83-B37C-00EDE4E1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3B2"/>
    <w:rPr>
      <w:rFonts w:ascii="Calibri" w:hAnsi="Calibri" w:cs="Calibri"/>
      <w:lang w:eastAsia="en-GB"/>
    </w:rPr>
  </w:style>
  <w:style w:type="paragraph" w:styleId="Heading1">
    <w:name w:val="heading 1"/>
    <w:basedOn w:val="Normal"/>
    <w:link w:val="Heading1Char"/>
    <w:uiPriority w:val="9"/>
    <w:qFormat/>
    <w:rsid w:val="00C623B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623B2"/>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623B2"/>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623B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B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623B2"/>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623B2"/>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623B2"/>
    <w:rPr>
      <w:rFonts w:ascii="Tahoma" w:hAnsi="Tahoma" w:cs="Tahoma"/>
      <w:b/>
      <w:bCs/>
      <w:color w:val="FFFFFF"/>
      <w:sz w:val="18"/>
      <w:szCs w:val="18"/>
      <w:lang w:eastAsia="en-GB"/>
    </w:rPr>
  </w:style>
  <w:style w:type="paragraph" w:styleId="NormalWeb">
    <w:name w:val="Normal (Web)"/>
    <w:basedOn w:val="Normal"/>
    <w:uiPriority w:val="99"/>
    <w:semiHidden/>
    <w:unhideWhenUsed/>
    <w:rsid w:val="00C623B2"/>
    <w:pPr>
      <w:spacing w:before="100" w:beforeAutospacing="1" w:after="100" w:afterAutospacing="1"/>
    </w:pPr>
  </w:style>
  <w:style w:type="character" w:styleId="Strong">
    <w:name w:val="Strong"/>
    <w:basedOn w:val="DefaultParagraphFont"/>
    <w:uiPriority w:val="22"/>
    <w:qFormat/>
    <w:rsid w:val="00C623B2"/>
    <w:rPr>
      <w:b/>
      <w:bCs/>
    </w:rPr>
  </w:style>
  <w:style w:type="character" w:styleId="Hyperlink">
    <w:name w:val="Hyperlink"/>
    <w:basedOn w:val="DefaultParagraphFont"/>
    <w:uiPriority w:val="99"/>
    <w:semiHidden/>
    <w:unhideWhenUsed/>
    <w:rsid w:val="00C62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215f3d43a&amp;e=d19e9fd41c" TargetMode="External"/><Relationship Id="rId13" Type="http://schemas.openxmlformats.org/officeDocument/2006/relationships/hyperlink" Target="https://psnc.us7.list-manage.com/track/click?u=86d41ab7fa4c7c2c5d7210782&amp;id=6f01c1c7c6&amp;e=d19e9fd41c" TargetMode="External"/><Relationship Id="rId18" Type="http://schemas.openxmlformats.org/officeDocument/2006/relationships/hyperlink" Target="https://psnc.us7.list-manage.com/track/click?u=86d41ab7fa4c7c2c5d7210782&amp;id=6695444d63&amp;e=d19e9fd41c" TargetMode="External"/><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https://gallery.mailchimp.com/86d41ab7fa4c7c2c5d7210782/images/5acd9cf1-bdba-4039-b74f-638b444ff5d8.png" TargetMode="External"/><Relationship Id="rId34" Type="http://schemas.openxmlformats.org/officeDocument/2006/relationships/fontTable" Target="fontTable.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8907b6806&amp;e=d19e9fd41c" TargetMode="External"/><Relationship Id="rId17" Type="http://schemas.openxmlformats.org/officeDocument/2006/relationships/hyperlink" Target="https://psnc.us7.list-manage.com/track/click?u=86d41ab7fa4c7c2c5d7210782&amp;id=e93e200a81&amp;e=d19e9fd41c" TargetMode="External"/><Relationship Id="rId25" Type="http://schemas.openxmlformats.org/officeDocument/2006/relationships/hyperlink" Target="https://psnc.us7.list-manage.com/track/click?u=86d41ab7fa4c7c2c5d7210782&amp;id=49452974cc&amp;e=d19e9fd41c" TargetMode="External"/><Relationship Id="rId33" Type="http://schemas.openxmlformats.org/officeDocument/2006/relationships/image" Target="https://psnc.us7.list-manage.com/track/open.php?u=86d41ab7fa4c7c2c5d7210782&amp;id=6e852caea6&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d17d8e9b4f&amp;e=d19e9fd41c"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56611f897&amp;e=d19e9fd41c" TargetMode="External"/><Relationship Id="rId24" Type="http://schemas.openxmlformats.org/officeDocument/2006/relationships/image" Target="https://gallery.mailchimp.com/86d41ab7fa4c7c2c5d7210782/images/e1475f6b-1081-4509-ab25-9cd7f83d26b2.png" TargetMode="External"/><Relationship Id="rId32"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81fbff756&amp;e=d19e9fd41c" TargetMode="External"/><Relationship Id="rId23" Type="http://schemas.openxmlformats.org/officeDocument/2006/relationships/image" Target="media/image4.png"/><Relationship Id="rId28" Type="http://schemas.openxmlformats.org/officeDocument/2006/relationships/hyperlink" Target="https://psnc.us7.list-manage.com/track/click?u=86d41ab7fa4c7c2c5d7210782&amp;id=1b51ab9311&amp;e=d19e9fd41c" TargetMode="External"/><Relationship Id="rId10" Type="http://schemas.openxmlformats.org/officeDocument/2006/relationships/hyperlink" Target="https://psnc.us7.list-manage.com/track/click?u=86d41ab7fa4c7c2c5d7210782&amp;id=f6e65eeac1&amp;e=d19e9fd41c" TargetMode="External"/><Relationship Id="rId19" Type="http://schemas.openxmlformats.org/officeDocument/2006/relationships/hyperlink" Target="https://psnc.us7.list-manage.com/track/click?u=86d41ab7fa4c7c2c5d7210782&amp;id=43e8c8507b&amp;e=d19e9fd41c" TargetMode="External"/><Relationship Id="rId31" Type="http://schemas.openxmlformats.org/officeDocument/2006/relationships/hyperlink" Target="mailto:info@psnc.org.uk"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598c756679&amp;e=d19e9fd41c" TargetMode="External"/><Relationship Id="rId14" Type="http://schemas.openxmlformats.org/officeDocument/2006/relationships/hyperlink" Target="https://psnc.us7.list-manage.com/track/click?u=86d41ab7fa4c7c2c5d7210782&amp;id=b58f8b3c12&amp;e=d19e9fd41c" TargetMode="External"/><Relationship Id="rId22" Type="http://schemas.openxmlformats.org/officeDocument/2006/relationships/hyperlink" Target="https://psnc.us7.list-manage.com/track/click?u=86d41ab7fa4c7c2c5d7210782&amp;id=57548d1578&amp;e=d19e9fd41c" TargetMode="External"/><Relationship Id="rId27" Type="http://schemas.openxmlformats.org/officeDocument/2006/relationships/image" Target="https://gallery.mailchimp.com/86d41ab7fa4c7c2c5d7210782/images/cd088afd-0ac0-4498-8ed1-e4199bf882ce.png" TargetMode="External"/><Relationship Id="rId30" Type="http://schemas.openxmlformats.org/officeDocument/2006/relationships/image" Target="https://gallery.mailchimp.com/86d41ab7fa4c7c2c5d7210782/images/f5c0845f-f39c-425d-8d3c-deff11493c50.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2021-09-13T07:37:00Z</dcterms:created>
  <dcterms:modified xsi:type="dcterms:W3CDTF">2021-09-13T08:05:00Z</dcterms:modified>
</cp:coreProperties>
</file>