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996DC8" w14:paraId="2B261866" w14:textId="77777777" w:rsidTr="00996DC8">
        <w:trPr>
          <w:tblCellSpacing w:w="0" w:type="dxa"/>
          <w:jc w:val="center"/>
        </w:trPr>
        <w:tc>
          <w:tcPr>
            <w:tcW w:w="0" w:type="auto"/>
            <w:shd w:val="clear" w:color="auto" w:fill="FFFFFF"/>
          </w:tcPr>
          <w:tbl>
            <w:tblPr>
              <w:tblW w:w="9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996DC8" w14:paraId="3113CC06" w14:textId="77777777">
              <w:trPr>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996DC8" w14:paraId="184DC849" w14:textId="77777777">
                    <w:trPr>
                      <w:tblCellSpacing w:w="0" w:type="dxa"/>
                      <w:jc w:val="center"/>
                    </w:trPr>
                    <w:tc>
                      <w:tcPr>
                        <w:tcW w:w="3000" w:type="dxa"/>
                        <w:hideMark/>
                      </w:tcPr>
                      <w:p w14:paraId="15B9E9DF" w14:textId="71C83173" w:rsidR="00996DC8" w:rsidRDefault="00996DC8">
                        <w:pPr>
                          <w:spacing w:line="264" w:lineRule="auto"/>
                          <w:jc w:val="center"/>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7B095BCD" w14:textId="77777777" w:rsidR="00996DC8" w:rsidRDefault="00996DC8">
                  <w:pPr>
                    <w:jc w:val="center"/>
                    <w:rPr>
                      <w:rFonts w:ascii="Times New Roman" w:eastAsia="Times New Roman" w:hAnsi="Times New Roman" w:cs="Times New Roman"/>
                      <w:sz w:val="20"/>
                      <w:szCs w:val="20"/>
                    </w:rPr>
                  </w:pPr>
                </w:p>
              </w:tc>
            </w:tr>
            <w:tr w:rsidR="00996DC8" w14:paraId="4BD07422" w14:textId="77777777">
              <w:tblPrEx>
                <w:shd w:val="clear" w:color="auto" w:fill="auto"/>
              </w:tblPrEx>
              <w:trPr>
                <w:tblCellSpacing w:w="0" w:type="dxa"/>
                <w:jc w:val="center"/>
              </w:trPr>
              <w:tc>
                <w:tcPr>
                  <w:tcW w:w="0" w:type="auto"/>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996DC8" w14:paraId="1CB6DFA2" w14:textId="77777777">
                    <w:trPr>
                      <w:gridAfter w:val="1"/>
                      <w:wAfter w:w="3450" w:type="dxa"/>
                      <w:trHeight w:val="230"/>
                      <w:tblCellSpacing w:w="0" w:type="dxa"/>
                    </w:trPr>
                    <w:tc>
                      <w:tcPr>
                        <w:tcW w:w="2700" w:type="dxa"/>
                        <w:vMerge w:val="restart"/>
                        <w:tcBorders>
                          <w:top w:val="nil"/>
                          <w:left w:val="nil"/>
                          <w:bottom w:val="single" w:sz="2" w:space="0" w:color="FFFFFF"/>
                          <w:right w:val="nil"/>
                        </w:tcBorders>
                        <w:vAlign w:val="center"/>
                        <w:hideMark/>
                      </w:tcPr>
                      <w:p w14:paraId="4FD0EA3C" w14:textId="4E952EA4" w:rsidR="00996DC8" w:rsidRDefault="00996DC8">
                        <w:pPr>
                          <w:jc w:val="center"/>
                          <w:rPr>
                            <w:rFonts w:eastAsia="Times New Roman"/>
                          </w:rPr>
                        </w:pPr>
                        <w:r>
                          <w:rPr>
                            <w:rFonts w:eastAsia="Times New Roman"/>
                            <w:noProof/>
                          </w:rPr>
                          <w:drawing>
                            <wp:inline distT="0" distB="0" distL="0" distR="0" wp14:anchorId="624811E0" wp14:editId="00516B7C">
                              <wp:extent cx="933450"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33450" cy="666750"/>
                                      </a:xfrm>
                                      <a:prstGeom prst="rect">
                                        <a:avLst/>
                                      </a:prstGeom>
                                      <a:noFill/>
                                      <a:ln>
                                        <a:noFill/>
                                      </a:ln>
                                    </pic:spPr>
                                  </pic:pic>
                                </a:graphicData>
                              </a:graphic>
                            </wp:inline>
                          </w:drawing>
                        </w:r>
                      </w:p>
                    </w:tc>
                  </w:tr>
                  <w:tr w:rsidR="00996DC8" w14:paraId="4CF8E401" w14:textId="77777777">
                    <w:trPr>
                      <w:tblCellSpacing w:w="0" w:type="dxa"/>
                    </w:trPr>
                    <w:tc>
                      <w:tcPr>
                        <w:tcW w:w="0" w:type="auto"/>
                        <w:vMerge/>
                        <w:tcBorders>
                          <w:top w:val="nil"/>
                          <w:left w:val="nil"/>
                          <w:bottom w:val="single" w:sz="2" w:space="0" w:color="FFFFFF"/>
                          <w:right w:val="nil"/>
                        </w:tcBorders>
                        <w:vAlign w:val="center"/>
                        <w:hideMark/>
                      </w:tcPr>
                      <w:p w14:paraId="2EAE098B" w14:textId="77777777" w:rsidR="00996DC8" w:rsidRDefault="00996DC8">
                        <w:pPr>
                          <w:rPr>
                            <w:rFonts w:eastAsia="Times New Roman"/>
                          </w:rPr>
                        </w:pPr>
                      </w:p>
                    </w:tc>
                    <w:tc>
                      <w:tcPr>
                        <w:tcW w:w="3450" w:type="dxa"/>
                        <w:tcBorders>
                          <w:top w:val="nil"/>
                          <w:left w:val="nil"/>
                          <w:bottom w:val="nil"/>
                          <w:right w:val="nil"/>
                        </w:tcBorders>
                        <w:vAlign w:val="center"/>
                        <w:hideMark/>
                      </w:tcPr>
                      <w:p w14:paraId="65B0DC1B" w14:textId="77777777" w:rsidR="00996DC8" w:rsidRDefault="00996DC8">
                        <w:pPr>
                          <w:pStyle w:val="Heading1"/>
                          <w:rPr>
                            <w:rFonts w:eastAsia="Times New Roman"/>
                          </w:rPr>
                        </w:pPr>
                        <w:r>
                          <w:rPr>
                            <w:rFonts w:eastAsia="Times New Roman"/>
                          </w:rPr>
                          <w:t>PSNC Newsletter</w:t>
                        </w:r>
                      </w:p>
                    </w:tc>
                  </w:tr>
                  <w:tr w:rsidR="00996DC8" w14:paraId="76ADC585" w14:textId="77777777">
                    <w:trPr>
                      <w:tblCellSpacing w:w="0" w:type="dxa"/>
                    </w:trPr>
                    <w:tc>
                      <w:tcPr>
                        <w:tcW w:w="0" w:type="auto"/>
                        <w:vMerge/>
                        <w:tcBorders>
                          <w:top w:val="nil"/>
                          <w:left w:val="nil"/>
                          <w:bottom w:val="single" w:sz="2" w:space="0" w:color="FFFFFF"/>
                          <w:right w:val="nil"/>
                        </w:tcBorders>
                        <w:vAlign w:val="center"/>
                        <w:hideMark/>
                      </w:tcPr>
                      <w:p w14:paraId="034FDF4C" w14:textId="77777777" w:rsidR="00996DC8" w:rsidRDefault="00996DC8">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2A360D6D" w14:textId="77777777" w:rsidR="00996DC8" w:rsidRDefault="00996DC8">
                        <w:pPr>
                          <w:pStyle w:val="Heading2"/>
                          <w:rPr>
                            <w:rFonts w:eastAsia="Times New Roman"/>
                            <w:color w:val="93378A"/>
                          </w:rPr>
                        </w:pPr>
                        <w:r>
                          <w:rPr>
                            <w:rFonts w:eastAsia="Times New Roman"/>
                            <w:color w:val="93378A"/>
                          </w:rPr>
                          <w:t>Wednesday 3rd May 2023</w:t>
                        </w:r>
                      </w:p>
                    </w:tc>
                  </w:tr>
                </w:tbl>
                <w:p w14:paraId="037F75A2" w14:textId="77777777" w:rsidR="00996DC8" w:rsidRDefault="00996DC8">
                  <w:pPr>
                    <w:rPr>
                      <w:rFonts w:ascii="Times New Roman" w:eastAsia="Times New Roman" w:hAnsi="Times New Roman" w:cs="Times New Roman"/>
                      <w:sz w:val="20"/>
                      <w:szCs w:val="20"/>
                    </w:rPr>
                  </w:pPr>
                </w:p>
              </w:tc>
            </w:tr>
            <w:tr w:rsidR="00996DC8" w14:paraId="14D6B054" w14:textId="77777777">
              <w:tblPrEx>
                <w:shd w:val="clear" w:color="auto" w:fill="auto"/>
              </w:tblPrEx>
              <w:trPr>
                <w:tblCellSpacing w:w="0" w:type="dxa"/>
                <w:jc w:val="center"/>
              </w:trPr>
              <w:tc>
                <w:tcPr>
                  <w:tcW w:w="9000" w:type="dxa"/>
                  <w:hideMark/>
                </w:tcPr>
                <w:p w14:paraId="1704239B" w14:textId="2A21EC56" w:rsidR="00996DC8" w:rsidRDefault="00996DC8">
                  <w:pPr>
                    <w:rPr>
                      <w:rFonts w:eastAsia="Times New Roman"/>
                    </w:rPr>
                  </w:pPr>
                  <w:r>
                    <w:rPr>
                      <w:rFonts w:eastAsia="Times New Roman"/>
                      <w:noProof/>
                    </w:rPr>
                    <w:drawing>
                      <wp:inline distT="0" distB="0" distL="0" distR="0" wp14:anchorId="01E2AE2C" wp14:editId="52308317">
                        <wp:extent cx="5715000" cy="20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15000" cy="209550"/>
                                </a:xfrm>
                                <a:prstGeom prst="rect">
                                  <a:avLst/>
                                </a:prstGeom>
                                <a:noFill/>
                                <a:ln>
                                  <a:noFill/>
                                </a:ln>
                              </pic:spPr>
                            </pic:pic>
                          </a:graphicData>
                        </a:graphic>
                      </wp:inline>
                    </w:drawing>
                  </w:r>
                </w:p>
              </w:tc>
            </w:tr>
            <w:tr w:rsidR="00996DC8" w14:paraId="1962B621" w14:textId="77777777">
              <w:tblPrEx>
                <w:shd w:val="clear" w:color="auto" w:fill="auto"/>
              </w:tblPrEx>
              <w:trPr>
                <w:tblCellSpacing w:w="0" w:type="dxa"/>
                <w:jc w:val="center"/>
              </w:trPr>
              <w:tc>
                <w:tcPr>
                  <w:tcW w:w="9000" w:type="dxa"/>
                  <w:hideMark/>
                </w:tcPr>
                <w:tbl>
                  <w:tblPr>
                    <w:tblW w:w="9000" w:type="dxa"/>
                    <w:jc w:val="center"/>
                    <w:tblCellSpacing w:w="15" w:type="dxa"/>
                    <w:tblCellMar>
                      <w:left w:w="0" w:type="dxa"/>
                      <w:right w:w="0" w:type="dxa"/>
                    </w:tblCellMar>
                    <w:tblLook w:val="04A0" w:firstRow="1" w:lastRow="0" w:firstColumn="1" w:lastColumn="0" w:noHBand="0" w:noVBand="1"/>
                  </w:tblPr>
                  <w:tblGrid>
                    <w:gridCol w:w="192"/>
                    <w:gridCol w:w="8615"/>
                    <w:gridCol w:w="193"/>
                  </w:tblGrid>
                  <w:tr w:rsidR="00996DC8" w14:paraId="523F449F" w14:textId="77777777">
                    <w:trPr>
                      <w:trHeight w:val="150"/>
                      <w:tblCellSpacing w:w="15" w:type="dxa"/>
                      <w:jc w:val="center"/>
                    </w:trPr>
                    <w:tc>
                      <w:tcPr>
                        <w:tcW w:w="150" w:type="dxa"/>
                        <w:vAlign w:val="center"/>
                        <w:hideMark/>
                      </w:tcPr>
                      <w:p w14:paraId="0B3730C7" w14:textId="77777777" w:rsidR="00996DC8" w:rsidRDefault="00996DC8">
                        <w:pPr>
                          <w:rPr>
                            <w:rFonts w:eastAsia="Times New Roman"/>
                          </w:rPr>
                        </w:pPr>
                      </w:p>
                    </w:tc>
                    <w:tc>
                      <w:tcPr>
                        <w:tcW w:w="8700" w:type="dxa"/>
                        <w:vAlign w:val="center"/>
                        <w:hideMark/>
                      </w:tcPr>
                      <w:p w14:paraId="5F5706DA" w14:textId="77777777" w:rsidR="00996DC8" w:rsidRDefault="00996DC8">
                        <w:pPr>
                          <w:rPr>
                            <w:rFonts w:ascii="Times New Roman" w:eastAsia="Times New Roman" w:hAnsi="Times New Roman" w:cs="Times New Roman"/>
                            <w:sz w:val="20"/>
                            <w:szCs w:val="20"/>
                          </w:rPr>
                        </w:pPr>
                      </w:p>
                    </w:tc>
                    <w:tc>
                      <w:tcPr>
                        <w:tcW w:w="150" w:type="dxa"/>
                        <w:vAlign w:val="center"/>
                        <w:hideMark/>
                      </w:tcPr>
                      <w:p w14:paraId="28AEBAC1" w14:textId="77777777" w:rsidR="00996DC8" w:rsidRDefault="00996DC8">
                        <w:pPr>
                          <w:rPr>
                            <w:rFonts w:ascii="Times New Roman" w:eastAsia="Times New Roman" w:hAnsi="Times New Roman" w:cs="Times New Roman"/>
                            <w:sz w:val="20"/>
                            <w:szCs w:val="20"/>
                          </w:rPr>
                        </w:pPr>
                      </w:p>
                    </w:tc>
                  </w:tr>
                  <w:tr w:rsidR="00996DC8" w14:paraId="550049DB" w14:textId="77777777">
                    <w:trPr>
                      <w:tblCellSpacing w:w="15" w:type="dxa"/>
                      <w:jc w:val="center"/>
                    </w:trPr>
                    <w:tc>
                      <w:tcPr>
                        <w:tcW w:w="150" w:type="dxa"/>
                        <w:vAlign w:val="center"/>
                        <w:hideMark/>
                      </w:tcPr>
                      <w:p w14:paraId="60385EAD" w14:textId="77777777" w:rsidR="00996DC8" w:rsidRDefault="00996DC8" w:rsidP="00996DC8">
                        <w:pPr>
                          <w:spacing w:line="264" w:lineRule="auto"/>
                          <w:rPr>
                            <w:rFonts w:ascii="Times New Roman" w:eastAsia="Times New Roman" w:hAnsi="Times New Roman" w:cs="Times New Roman"/>
                            <w:sz w:val="20"/>
                            <w:szCs w:val="20"/>
                          </w:rPr>
                        </w:pPr>
                      </w:p>
                    </w:tc>
                    <w:tc>
                      <w:tcPr>
                        <w:tcW w:w="8700" w:type="dxa"/>
                        <w:vAlign w:val="center"/>
                        <w:hideMark/>
                      </w:tcPr>
                      <w:p w14:paraId="6D9507A9" w14:textId="77777777" w:rsidR="00996DC8" w:rsidRDefault="00996DC8" w:rsidP="00996DC8">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This newsletter from PSNC is sent on Mondays, </w:t>
                        </w:r>
                        <w:proofErr w:type="gramStart"/>
                        <w:r>
                          <w:rPr>
                            <w:rFonts w:ascii="Tahoma" w:eastAsia="Times New Roman" w:hAnsi="Tahoma" w:cs="Tahoma"/>
                            <w:color w:val="303030"/>
                            <w:sz w:val="21"/>
                            <w:szCs w:val="21"/>
                          </w:rPr>
                          <w:t>Wednesdays</w:t>
                        </w:r>
                        <w:proofErr w:type="gramEnd"/>
                        <w:r>
                          <w:rPr>
                            <w:rFonts w:ascii="Tahoma" w:eastAsia="Times New Roman" w:hAnsi="Tahoma" w:cs="Tahoma"/>
                            <w:color w:val="303030"/>
                            <w:sz w:val="21"/>
                            <w:szCs w:val="21"/>
                          </w:rPr>
                          <w:t xml:space="preserve"> and Fridays. It contains important information for those that work in the community pharmacy sector.</w:t>
                        </w:r>
                      </w:p>
                      <w:p w14:paraId="0953BF0E" w14:textId="77777777" w:rsidR="00996DC8" w:rsidRDefault="00996DC8" w:rsidP="00996DC8">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704081C2">
                            <v:rect id="_x0000_i1032" style="width:468pt;height:1.5pt" o:hrstd="t" o:hr="t" fillcolor="#a0a0a0" stroked="f"/>
                          </w:pict>
                        </w:r>
                      </w:p>
                      <w:p w14:paraId="6CD53BD9" w14:textId="77777777" w:rsidR="00996DC8" w:rsidRDefault="00996DC8" w:rsidP="00996DC8">
                        <w:pPr>
                          <w:pStyle w:val="Heading2"/>
                          <w:spacing w:after="0"/>
                          <w:rPr>
                            <w:rFonts w:eastAsia="Times New Roman"/>
                          </w:rPr>
                        </w:pPr>
                        <w:r>
                          <w:rPr>
                            <w:rFonts w:eastAsia="Times New Roman"/>
                          </w:rPr>
                          <w:t>In this update: Regulatory Changes Webinar; VAT services exemption introduced; NHS Hints and Tips Newsletter.</w:t>
                        </w:r>
                      </w:p>
                      <w:p w14:paraId="4B65E3C6" w14:textId="77777777" w:rsidR="00996DC8" w:rsidRDefault="00996DC8" w:rsidP="00996DC8">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75BEDD05">
                            <v:rect id="_x0000_i1033" style="width:468pt;height:1.5pt" o:hrstd="t" o:hr="t" fillcolor="#a0a0a0" stroked="f"/>
                          </w:pict>
                        </w:r>
                      </w:p>
                      <w:p w14:paraId="1EE00B28" w14:textId="77777777" w:rsidR="00996DC8" w:rsidRDefault="00996DC8" w:rsidP="00996DC8">
                        <w:pPr>
                          <w:pStyle w:val="Heading3"/>
                          <w:spacing w:after="0"/>
                          <w:rPr>
                            <w:rFonts w:eastAsia="Times New Roman"/>
                          </w:rPr>
                        </w:pPr>
                        <w:r>
                          <w:rPr>
                            <w:rFonts w:eastAsia="Times New Roman"/>
                          </w:rPr>
                          <w:t>Book now for our Regulatory Changes Webinar</w:t>
                        </w:r>
                      </w:p>
                      <w:p w14:paraId="1418CA69" w14:textId="77777777" w:rsidR="00996DC8" w:rsidRDefault="00996DC8" w:rsidP="00996DC8">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Gordon Hockey, Director of Legal, will be hosting a PSNC webinar about upcoming changes to the Pharmaceutical Regulations on </w:t>
                        </w:r>
                        <w:r>
                          <w:rPr>
                            <w:rStyle w:val="Strong"/>
                            <w:rFonts w:ascii="Tahoma" w:hAnsi="Tahoma" w:cs="Tahoma"/>
                            <w:color w:val="303030"/>
                            <w:sz w:val="21"/>
                            <w:szCs w:val="21"/>
                          </w:rPr>
                          <w:t>Tuesday 16th May at 7pm</w:t>
                        </w:r>
                        <w:r>
                          <w:rPr>
                            <w:rFonts w:ascii="Tahoma" w:hAnsi="Tahoma" w:cs="Tahoma"/>
                            <w:color w:val="303030"/>
                            <w:sz w:val="21"/>
                            <w:szCs w:val="21"/>
                          </w:rPr>
                          <w:t>.</w:t>
                        </w:r>
                        <w:r>
                          <w:rPr>
                            <w:rFonts w:ascii="Tahoma" w:hAnsi="Tahoma" w:cs="Tahoma"/>
                            <w:color w:val="303030"/>
                            <w:sz w:val="21"/>
                            <w:szCs w:val="21"/>
                          </w:rPr>
                          <w:br/>
                        </w:r>
                        <w:r>
                          <w:rPr>
                            <w:rFonts w:ascii="Tahoma" w:hAnsi="Tahoma" w:cs="Tahoma"/>
                            <w:color w:val="303030"/>
                            <w:sz w:val="21"/>
                            <w:szCs w:val="21"/>
                          </w:rPr>
                          <w:br/>
                          <w:t>The Department of Health and Social Care (DHSC) and NHS England has introduced a package of regulatory changes in response to the current pressures on community pharmacy, and calls from PSNC for regulatory easements to help contractors to manage the workforce and cost pressures. While the package is an inadequate response to the pressures and one aspect is divisive (and they were opposed by PSNC), some of the changes have some merit and may assist contractors.</w:t>
                        </w:r>
                      </w:p>
                      <w:p w14:paraId="1619DF8F" w14:textId="77777777" w:rsidR="00996DC8" w:rsidRDefault="00996DC8" w:rsidP="00996DC8">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The webinar will cover the regulatory changes due to come into force from 25th May 2023. Gordon will outline the flexibilities for contractors to close for rest breaks and the provisions against which Integrated Care Boards (ICBs) may agree local hours plans. He will also look at business continuity plans to deal with temporary closures, and review the options for 100-hour pharmacies to reduce their core hours.</w:t>
                        </w:r>
                        <w:r>
                          <w:rPr>
                            <w:rFonts w:ascii="Tahoma" w:hAnsi="Tahoma" w:cs="Tahoma"/>
                            <w:color w:val="303030"/>
                            <w:sz w:val="21"/>
                            <w:szCs w:val="21"/>
                          </w:rPr>
                          <w:br/>
                        </w:r>
                        <w:r>
                          <w:rPr>
                            <w:rFonts w:ascii="Tahoma" w:hAnsi="Tahoma" w:cs="Tahoma"/>
                            <w:color w:val="303030"/>
                            <w:sz w:val="21"/>
                            <w:szCs w:val="21"/>
                          </w:rPr>
                          <w:br/>
                        </w:r>
                        <w:hyperlink r:id="rId8" w:tgtFrame="_blank" w:history="1">
                          <w:r>
                            <w:rPr>
                              <w:rStyle w:val="Hyperlink"/>
                              <w:rFonts w:ascii="Tahoma" w:hAnsi="Tahoma" w:cs="Tahoma"/>
                              <w:b/>
                              <w:bCs/>
                              <w:color w:val="4E3487"/>
                              <w:sz w:val="21"/>
                              <w:szCs w:val="21"/>
                            </w:rPr>
                            <w:t>Register for the webinar</w:t>
                          </w:r>
                        </w:hyperlink>
                      </w:p>
                      <w:p w14:paraId="79A23A60" w14:textId="77777777" w:rsidR="00996DC8" w:rsidRDefault="00996DC8" w:rsidP="00996DC8">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36320F2A">
                            <v:rect id="_x0000_i1034" style="width:468pt;height:1.5pt" o:hrstd="t" o:hr="t" fillcolor="#a0a0a0" stroked="f"/>
                          </w:pict>
                        </w:r>
                      </w:p>
                      <w:p w14:paraId="5FA67560" w14:textId="77777777" w:rsidR="00996DC8" w:rsidRDefault="00996DC8" w:rsidP="00996DC8">
                        <w:pPr>
                          <w:pStyle w:val="Heading3"/>
                          <w:spacing w:after="0"/>
                          <w:rPr>
                            <w:rFonts w:eastAsia="Times New Roman"/>
                          </w:rPr>
                        </w:pPr>
                        <w:r>
                          <w:rPr>
                            <w:rFonts w:eastAsia="Times New Roman"/>
                          </w:rPr>
                          <w:t xml:space="preserve">VAT services exemption </w:t>
                        </w:r>
                        <w:proofErr w:type="gramStart"/>
                        <w:r>
                          <w:rPr>
                            <w:rFonts w:eastAsia="Times New Roman"/>
                          </w:rPr>
                          <w:t>introduced</w:t>
                        </w:r>
                        <w:proofErr w:type="gramEnd"/>
                      </w:p>
                      <w:p w14:paraId="0FF1D180" w14:textId="77777777" w:rsidR="00996DC8" w:rsidRDefault="00996DC8" w:rsidP="00996DC8">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From this month, healthcare services carried out by pharmacy staff under the supervision of pharmacists have become exempt from VAT. This is something that PSNC has been seeking Government agreement on for a long time, including in recent CPCF negotiations.</w:t>
                        </w:r>
                      </w:p>
                      <w:p w14:paraId="4AFEC503" w14:textId="77777777" w:rsidR="00996DC8" w:rsidRDefault="00996DC8" w:rsidP="00996DC8">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HM Revenue and Customs has issued a </w:t>
                        </w:r>
                        <w:hyperlink r:id="rId9" w:tgtFrame="_blank" w:history="1">
                          <w:r>
                            <w:rPr>
                              <w:rStyle w:val="Hyperlink"/>
                              <w:rFonts w:ascii="Tahoma" w:eastAsia="Times New Roman" w:hAnsi="Tahoma" w:cs="Tahoma"/>
                              <w:b/>
                              <w:bCs/>
                              <w:color w:val="4E3487"/>
                              <w:sz w:val="21"/>
                              <w:szCs w:val="21"/>
                            </w:rPr>
                            <w:t>note detailing the change to the VAT treatment of medical services</w:t>
                          </w:r>
                        </w:hyperlink>
                        <w:r>
                          <w:rPr>
                            <w:rFonts w:ascii="Tahoma" w:eastAsia="Times New Roman" w:hAnsi="Tahoma" w:cs="Tahoma"/>
                            <w:color w:val="303030"/>
                            <w:sz w:val="21"/>
                            <w:szCs w:val="21"/>
                          </w:rPr>
                          <w:t>. It explains that, from 1st May 2023, the VAT exemption on medical services has been extended to include services undertaken by non-registered staff who are directly supervised by pharmacists. The Government says this will bring the VAT treatment of pharmacists in line with other registered health professionals providing medical services to the public.</w:t>
                        </w:r>
                        <w:r>
                          <w:rPr>
                            <w:rFonts w:ascii="Tahoma" w:eastAsia="Times New Roman" w:hAnsi="Tahoma" w:cs="Tahoma"/>
                            <w:color w:val="303030"/>
                            <w:sz w:val="21"/>
                            <w:szCs w:val="21"/>
                          </w:rPr>
                          <w:br/>
                        </w:r>
                        <w:r>
                          <w:rPr>
                            <w:rFonts w:ascii="Tahoma" w:eastAsia="Times New Roman" w:hAnsi="Tahoma" w:cs="Tahoma"/>
                            <w:color w:val="303030"/>
                            <w:sz w:val="21"/>
                            <w:szCs w:val="21"/>
                          </w:rPr>
                          <w:br/>
                          <w:t>PSNC believes that the extension of this VAT exemption will help as community pharmacy businesses try to make better use of the skill mix in their teams both now and in the future.</w:t>
                        </w:r>
                        <w:r>
                          <w:rPr>
                            <w:rFonts w:ascii="Tahoma" w:eastAsia="Times New Roman" w:hAnsi="Tahoma" w:cs="Tahoma"/>
                            <w:color w:val="303030"/>
                            <w:sz w:val="21"/>
                            <w:szCs w:val="21"/>
                          </w:rPr>
                          <w:br/>
                        </w:r>
                        <w:r>
                          <w:rPr>
                            <w:rFonts w:ascii="Tahoma" w:eastAsia="Times New Roman" w:hAnsi="Tahoma" w:cs="Tahoma"/>
                            <w:color w:val="303030"/>
                            <w:sz w:val="21"/>
                            <w:szCs w:val="21"/>
                          </w:rPr>
                          <w:lastRenderedPageBreak/>
                          <w:br/>
                        </w:r>
                        <w:hyperlink r:id="rId10" w:tgtFrame="_blank" w:history="1">
                          <w:r>
                            <w:rPr>
                              <w:rStyle w:val="Hyperlink"/>
                              <w:rFonts w:ascii="Tahoma" w:eastAsia="Times New Roman" w:hAnsi="Tahoma" w:cs="Tahoma"/>
                              <w:b/>
                              <w:bCs/>
                              <w:color w:val="4E3487"/>
                              <w:sz w:val="21"/>
                              <w:szCs w:val="21"/>
                            </w:rPr>
                            <w:t>Read more</w:t>
                          </w:r>
                        </w:hyperlink>
                        <w:r>
                          <w:rPr>
                            <w:rFonts w:ascii="Tahoma" w:eastAsia="Times New Roman" w:hAnsi="Tahoma" w:cs="Tahoma"/>
                            <w:color w:val="303030"/>
                            <w:sz w:val="21"/>
                            <w:szCs w:val="21"/>
                          </w:rPr>
                          <w:t xml:space="preserve"> </w:t>
                        </w:r>
                      </w:p>
                      <w:p w14:paraId="2AD8CFB2" w14:textId="77777777" w:rsidR="00996DC8" w:rsidRDefault="00996DC8" w:rsidP="00996DC8">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397C8BF6">
                            <v:rect id="_x0000_i1035" style="width:468pt;height:1.5pt" o:hrstd="t" o:hr="t" fillcolor="#a0a0a0" stroked="f"/>
                          </w:pict>
                        </w:r>
                      </w:p>
                      <w:p w14:paraId="5AA49DB4" w14:textId="77777777" w:rsidR="00996DC8" w:rsidRDefault="00996DC8" w:rsidP="00996DC8">
                        <w:pPr>
                          <w:pStyle w:val="Heading2"/>
                          <w:spacing w:after="0"/>
                          <w:rPr>
                            <w:rFonts w:eastAsia="Times New Roman"/>
                          </w:rPr>
                        </w:pPr>
                        <w:r>
                          <w:rPr>
                            <w:rFonts w:eastAsia="Times New Roman"/>
                          </w:rPr>
                          <w:t>Issue 51: NHS Prescription Services ‘Hints &amp; Tips’</w:t>
                        </w:r>
                      </w:p>
                      <w:p w14:paraId="7842EB83" w14:textId="77777777" w:rsidR="00996DC8" w:rsidRDefault="00996DC8" w:rsidP="00996DC8">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br/>
                          <w:t xml:space="preserve">NHS Prescription Services produces a quarterly newsletter called “Hints &amp; Tips for dispensing contractors”. The latest edition (Issue 51), which has just been published contains useful information and advice on patients claiming free NHS prescriptions, real time exemption checking, disallowed items and more. </w:t>
                        </w:r>
                      </w:p>
                      <w:p w14:paraId="3A51FAB9" w14:textId="77777777" w:rsidR="00996DC8" w:rsidRDefault="00996DC8" w:rsidP="00996DC8">
                        <w:pPr>
                          <w:pStyle w:val="NormalWeb"/>
                          <w:spacing w:before="0" w:beforeAutospacing="0" w:after="0" w:afterAutospacing="0" w:line="264" w:lineRule="auto"/>
                          <w:rPr>
                            <w:rFonts w:ascii="Tahoma" w:hAnsi="Tahoma" w:cs="Tahoma"/>
                            <w:color w:val="303030"/>
                            <w:sz w:val="21"/>
                            <w:szCs w:val="21"/>
                          </w:rPr>
                        </w:pPr>
                        <w:hyperlink r:id="rId11" w:tgtFrame="_blank" w:history="1">
                          <w:r>
                            <w:rPr>
                              <w:rStyle w:val="Hyperlink"/>
                              <w:rFonts w:ascii="Tahoma" w:hAnsi="Tahoma" w:cs="Tahoma"/>
                              <w:b/>
                              <w:bCs/>
                              <w:color w:val="4E3487"/>
                              <w:sz w:val="21"/>
                              <w:szCs w:val="21"/>
                            </w:rPr>
                            <w:t>Read the newsletter</w:t>
                          </w:r>
                        </w:hyperlink>
                      </w:p>
                    </w:tc>
                    <w:tc>
                      <w:tcPr>
                        <w:tcW w:w="150" w:type="dxa"/>
                        <w:vAlign w:val="center"/>
                        <w:hideMark/>
                      </w:tcPr>
                      <w:p w14:paraId="760C680A" w14:textId="77777777" w:rsidR="00996DC8" w:rsidRDefault="00996DC8">
                        <w:pPr>
                          <w:rPr>
                            <w:rFonts w:ascii="Tahoma" w:hAnsi="Tahoma" w:cs="Tahoma"/>
                            <w:color w:val="303030"/>
                            <w:sz w:val="21"/>
                            <w:szCs w:val="21"/>
                          </w:rPr>
                        </w:pPr>
                      </w:p>
                    </w:tc>
                  </w:tr>
                  <w:tr w:rsidR="00996DC8" w14:paraId="51C565C7" w14:textId="77777777">
                    <w:trPr>
                      <w:trHeight w:val="150"/>
                      <w:tblCellSpacing w:w="15" w:type="dxa"/>
                      <w:jc w:val="center"/>
                    </w:trPr>
                    <w:tc>
                      <w:tcPr>
                        <w:tcW w:w="150" w:type="dxa"/>
                        <w:vAlign w:val="center"/>
                        <w:hideMark/>
                      </w:tcPr>
                      <w:p w14:paraId="071E4B13" w14:textId="77777777" w:rsidR="00996DC8" w:rsidRDefault="00996DC8">
                        <w:pPr>
                          <w:rPr>
                            <w:rFonts w:ascii="Times New Roman" w:eastAsia="Times New Roman" w:hAnsi="Times New Roman" w:cs="Times New Roman"/>
                            <w:sz w:val="20"/>
                            <w:szCs w:val="20"/>
                          </w:rPr>
                        </w:pPr>
                      </w:p>
                    </w:tc>
                    <w:tc>
                      <w:tcPr>
                        <w:tcW w:w="8700" w:type="dxa"/>
                        <w:vAlign w:val="center"/>
                        <w:hideMark/>
                      </w:tcPr>
                      <w:p w14:paraId="3032DCB0" w14:textId="77777777" w:rsidR="00996DC8" w:rsidRDefault="00996DC8">
                        <w:pPr>
                          <w:rPr>
                            <w:rFonts w:ascii="Times New Roman" w:eastAsia="Times New Roman" w:hAnsi="Times New Roman" w:cs="Times New Roman"/>
                            <w:sz w:val="20"/>
                            <w:szCs w:val="20"/>
                          </w:rPr>
                        </w:pPr>
                      </w:p>
                    </w:tc>
                    <w:tc>
                      <w:tcPr>
                        <w:tcW w:w="150" w:type="dxa"/>
                        <w:vAlign w:val="center"/>
                        <w:hideMark/>
                      </w:tcPr>
                      <w:p w14:paraId="2A491C0A" w14:textId="77777777" w:rsidR="00996DC8" w:rsidRDefault="00996DC8">
                        <w:pPr>
                          <w:rPr>
                            <w:rFonts w:ascii="Times New Roman" w:eastAsia="Times New Roman" w:hAnsi="Times New Roman" w:cs="Times New Roman"/>
                            <w:sz w:val="20"/>
                            <w:szCs w:val="20"/>
                          </w:rPr>
                        </w:pPr>
                      </w:p>
                    </w:tc>
                  </w:tr>
                </w:tbl>
                <w:p w14:paraId="1CDE5B56" w14:textId="77777777" w:rsidR="00996DC8" w:rsidRDefault="00996DC8">
                  <w:pPr>
                    <w:jc w:val="center"/>
                    <w:rPr>
                      <w:rFonts w:ascii="Times New Roman" w:eastAsia="Times New Roman" w:hAnsi="Times New Roman" w:cs="Times New Roman"/>
                      <w:sz w:val="20"/>
                      <w:szCs w:val="20"/>
                    </w:rPr>
                  </w:pPr>
                </w:p>
              </w:tc>
            </w:tr>
          </w:tbl>
          <w:p w14:paraId="7AF1D931" w14:textId="77777777" w:rsidR="00996DC8" w:rsidRDefault="00996DC8">
            <w:pPr>
              <w:jc w:val="center"/>
              <w:rPr>
                <w:rFonts w:ascii="Times New Roman" w:eastAsia="Times New Roman" w:hAnsi="Times New Roman" w:cs="Times New Roman"/>
                <w:sz w:val="20"/>
                <w:szCs w:val="20"/>
              </w:rPr>
            </w:pPr>
          </w:p>
        </w:tc>
      </w:tr>
      <w:tr w:rsidR="00996DC8" w14:paraId="3592707B" w14:textId="77777777" w:rsidTr="00996DC8">
        <w:trPr>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996DC8" w14:paraId="70609576"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996DC8" w14:paraId="5078D8C8" w14:textId="77777777">
                    <w:trPr>
                      <w:tblCellSpacing w:w="0" w:type="dxa"/>
                      <w:jc w:val="center"/>
                    </w:trPr>
                    <w:tc>
                      <w:tcPr>
                        <w:tcW w:w="3000" w:type="dxa"/>
                        <w:tcMar>
                          <w:top w:w="30" w:type="dxa"/>
                          <w:left w:w="75" w:type="dxa"/>
                          <w:bottom w:w="30" w:type="dxa"/>
                          <w:right w:w="75" w:type="dxa"/>
                        </w:tcMar>
                        <w:hideMark/>
                      </w:tcPr>
                      <w:p w14:paraId="6F82D499" w14:textId="77777777" w:rsidR="00996DC8" w:rsidRDefault="00996DC8">
                        <w:pPr>
                          <w:pStyle w:val="Heading4"/>
                          <w:jc w:val="center"/>
                          <w:rPr>
                            <w:rFonts w:eastAsia="Times New Roman"/>
                          </w:rPr>
                        </w:pPr>
                        <w:r>
                          <w:rPr>
                            <w:rFonts w:eastAsia="Times New Roman"/>
                          </w:rPr>
                          <w:lastRenderedPageBreak/>
                          <w:t>Pharmaceutical Services Negotiating Committee</w:t>
                        </w:r>
                      </w:p>
                      <w:p w14:paraId="0922DFBB" w14:textId="57012852" w:rsidR="00996DC8" w:rsidRDefault="00996DC8">
                        <w:pPr>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7A121DB4" wp14:editId="7363CECB">
                              <wp:extent cx="609600" cy="304800"/>
                              <wp:effectExtent l="0" t="0" r="0" b="0"/>
                              <wp:docPr id="5" name="Picture 5">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240A6B38" wp14:editId="1A402E10">
                              <wp:extent cx="609600" cy="304800"/>
                              <wp:effectExtent l="0" t="0" r="0" b="0"/>
                              <wp:docPr id="4" name="Picture 4">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3EBFFB51" wp14:editId="405A7FEA">
                              <wp:extent cx="609600" cy="304800"/>
                              <wp:effectExtent l="0" t="0" r="0" b="0"/>
                              <wp:docPr id="3" name="Picture 3">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66192033" wp14:editId="1F798994">
                              <wp:extent cx="609600" cy="304800"/>
                              <wp:effectExtent l="0" t="0" r="0" b="0"/>
                              <wp:docPr id="2" name="Picture 2">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xml:space="preserve"> </w:t>
                        </w:r>
                      </w:p>
                      <w:p w14:paraId="19EDBD03" w14:textId="77777777" w:rsidR="00996DC8" w:rsidRDefault="00996DC8">
                        <w:pPr>
                          <w:jc w:val="center"/>
                          <w:rPr>
                            <w:rFonts w:ascii="Tahoma" w:eastAsia="Times New Roman" w:hAnsi="Tahoma" w:cs="Tahoma"/>
                            <w:color w:val="FFFFFF"/>
                            <w:sz w:val="18"/>
                            <w:szCs w:val="18"/>
                          </w:rPr>
                        </w:pPr>
                        <w:r>
                          <w:rPr>
                            <w:rFonts w:ascii="Tahoma" w:eastAsia="Times New Roman" w:hAnsi="Tahoma" w:cs="Tahoma"/>
                            <w:color w:val="FFFFFF"/>
                            <w:sz w:val="18"/>
                            <w:szCs w:val="18"/>
                          </w:rPr>
                          <w:t>14 Hosier Lane, London, EC1A 9LQ</w:t>
                        </w:r>
                        <w:r>
                          <w:rPr>
                            <w:rFonts w:ascii="Tahoma" w:eastAsia="Times New Roman" w:hAnsi="Tahoma" w:cs="Tahoma"/>
                            <w:color w:val="FFFFFF"/>
                            <w:sz w:val="18"/>
                            <w:szCs w:val="18"/>
                          </w:rPr>
                          <w:br/>
                          <w:t>Tel: 0203 1220 810 | Email: </w:t>
                        </w:r>
                        <w:hyperlink r:id="rId24" w:tgtFrame="_blank" w:history="1">
                          <w:r>
                            <w:rPr>
                              <w:rStyle w:val="Hyperlink"/>
                              <w:rFonts w:ascii="Tahoma" w:eastAsia="Times New Roman" w:hAnsi="Tahoma" w:cs="Tahoma"/>
                              <w:b/>
                              <w:bCs/>
                              <w:color w:val="FFFFFF"/>
                              <w:sz w:val="18"/>
                              <w:szCs w:val="18"/>
                            </w:rPr>
                            <w:t>info@psnc.org.uk</w:t>
                          </w:r>
                        </w:hyperlink>
                      </w:p>
                    </w:tc>
                  </w:tr>
                  <w:tr w:rsidR="00996DC8" w14:paraId="63F17345" w14:textId="77777777" w:rsidTr="00996DC8">
                    <w:trPr>
                      <w:trHeight w:val="37"/>
                      <w:tblCellSpacing w:w="0" w:type="dxa"/>
                      <w:jc w:val="center"/>
                    </w:trPr>
                    <w:tc>
                      <w:tcPr>
                        <w:tcW w:w="9000" w:type="dxa"/>
                        <w:tcMar>
                          <w:top w:w="150" w:type="dxa"/>
                          <w:left w:w="0" w:type="dxa"/>
                          <w:bottom w:w="0" w:type="dxa"/>
                          <w:right w:w="0" w:type="dxa"/>
                        </w:tcMar>
                        <w:vAlign w:val="center"/>
                        <w:hideMark/>
                      </w:tcPr>
                      <w:p w14:paraId="47214F71" w14:textId="3DA56605" w:rsidR="00996DC8" w:rsidRDefault="00996DC8" w:rsidP="00996DC8">
                        <w:pPr>
                          <w:rPr>
                            <w:rFonts w:ascii="Arial" w:eastAsia="Times New Roman" w:hAnsi="Arial" w:cs="Arial"/>
                            <w:color w:val="FFFFFF"/>
                            <w:sz w:val="17"/>
                            <w:szCs w:val="17"/>
                          </w:rPr>
                        </w:pPr>
                      </w:p>
                    </w:tc>
                  </w:tr>
                </w:tbl>
                <w:p w14:paraId="40E01A5F" w14:textId="77777777" w:rsidR="00996DC8" w:rsidRDefault="00996DC8">
                  <w:pPr>
                    <w:jc w:val="center"/>
                    <w:rPr>
                      <w:rFonts w:ascii="Times New Roman" w:eastAsia="Times New Roman" w:hAnsi="Times New Roman" w:cs="Times New Roman"/>
                      <w:sz w:val="20"/>
                      <w:szCs w:val="20"/>
                    </w:rPr>
                  </w:pPr>
                </w:p>
              </w:tc>
            </w:tr>
          </w:tbl>
          <w:p w14:paraId="4452BFBC" w14:textId="77777777" w:rsidR="00996DC8" w:rsidRDefault="00996DC8">
            <w:pPr>
              <w:jc w:val="center"/>
              <w:rPr>
                <w:rFonts w:ascii="Times New Roman" w:eastAsia="Times New Roman" w:hAnsi="Times New Roman" w:cs="Times New Roman"/>
                <w:sz w:val="20"/>
                <w:szCs w:val="20"/>
              </w:rPr>
            </w:pPr>
          </w:p>
        </w:tc>
      </w:tr>
    </w:tbl>
    <w:p w14:paraId="4DF1E8B6" w14:textId="7DAC4BCC" w:rsidR="00996DC8" w:rsidRDefault="00996DC8" w:rsidP="00996DC8">
      <w:pPr>
        <w:rPr>
          <w:rFonts w:eastAsia="Times New Roman"/>
        </w:rPr>
      </w:pPr>
      <w:r>
        <w:rPr>
          <w:rFonts w:eastAsia="Times New Roman"/>
          <w:noProof/>
        </w:rPr>
        <w:drawing>
          <wp:inline distT="0" distB="0" distL="0" distR="0" wp14:anchorId="6CF53332" wp14:editId="0B0C9B3E">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208E2EA4"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DC8"/>
    <w:rsid w:val="005230FC"/>
    <w:rsid w:val="00996DC8"/>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40164"/>
  <w15:chartTrackingRefBased/>
  <w15:docId w15:val="{735D3AD1-EBB8-4C22-9D48-2A5DDFACD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DC8"/>
    <w:rPr>
      <w:rFonts w:ascii="Calibri" w:hAnsi="Calibri" w:cs="Calibri"/>
      <w:kern w:val="0"/>
      <w:lang w:eastAsia="en-GB"/>
      <w14:ligatures w14:val="none"/>
    </w:rPr>
  </w:style>
  <w:style w:type="paragraph" w:styleId="Heading1">
    <w:name w:val="heading 1"/>
    <w:basedOn w:val="Normal"/>
    <w:link w:val="Heading1Char"/>
    <w:uiPriority w:val="9"/>
    <w:qFormat/>
    <w:rsid w:val="00996DC8"/>
    <w:pPr>
      <w:spacing w:after="75" w:line="264" w:lineRule="auto"/>
      <w:outlineLvl w:val="0"/>
    </w:pPr>
    <w:rPr>
      <w:rFonts w:ascii="Tahoma" w:hAnsi="Tahoma" w:cs="Tahoma"/>
      <w:b/>
      <w:bCs/>
      <w:color w:val="4E3487"/>
      <w:kern w:val="36"/>
      <w:sz w:val="54"/>
      <w:szCs w:val="54"/>
    </w:rPr>
  </w:style>
  <w:style w:type="paragraph" w:styleId="Heading2">
    <w:name w:val="heading 2"/>
    <w:basedOn w:val="Normal"/>
    <w:link w:val="Heading2Char"/>
    <w:uiPriority w:val="9"/>
    <w:semiHidden/>
    <w:unhideWhenUsed/>
    <w:qFormat/>
    <w:rsid w:val="00996DC8"/>
    <w:pPr>
      <w:spacing w:after="75" w:line="264" w:lineRule="auto"/>
      <w:outlineLvl w:val="1"/>
    </w:pPr>
    <w:rPr>
      <w:rFonts w:ascii="Tahoma" w:hAnsi="Tahoma" w:cs="Tahoma"/>
      <w:b/>
      <w:bCs/>
      <w:color w:val="4E3487"/>
      <w:sz w:val="30"/>
      <w:szCs w:val="30"/>
    </w:rPr>
  </w:style>
  <w:style w:type="paragraph" w:styleId="Heading3">
    <w:name w:val="heading 3"/>
    <w:basedOn w:val="Normal"/>
    <w:link w:val="Heading3Char"/>
    <w:uiPriority w:val="9"/>
    <w:semiHidden/>
    <w:unhideWhenUsed/>
    <w:qFormat/>
    <w:rsid w:val="00996DC8"/>
    <w:pPr>
      <w:spacing w:after="75" w:line="264" w:lineRule="auto"/>
      <w:outlineLvl w:val="2"/>
    </w:pPr>
    <w:rPr>
      <w:rFonts w:ascii="Tahoma" w:hAnsi="Tahoma" w:cs="Tahoma"/>
      <w:b/>
      <w:bCs/>
      <w:color w:val="4E3487"/>
      <w:sz w:val="27"/>
      <w:szCs w:val="27"/>
    </w:rPr>
  </w:style>
  <w:style w:type="paragraph" w:styleId="Heading4">
    <w:name w:val="heading 4"/>
    <w:basedOn w:val="Normal"/>
    <w:link w:val="Heading4Char"/>
    <w:uiPriority w:val="9"/>
    <w:semiHidden/>
    <w:unhideWhenUsed/>
    <w:qFormat/>
    <w:rsid w:val="00996DC8"/>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6DC8"/>
    <w:rPr>
      <w:rFonts w:ascii="Tahoma" w:hAnsi="Tahoma" w:cs="Tahoma"/>
      <w:b/>
      <w:bCs/>
      <w:color w:val="4E3487"/>
      <w:kern w:val="36"/>
      <w:sz w:val="54"/>
      <w:szCs w:val="54"/>
      <w:lang w:eastAsia="en-GB"/>
      <w14:ligatures w14:val="none"/>
    </w:rPr>
  </w:style>
  <w:style w:type="character" w:customStyle="1" w:styleId="Heading2Char">
    <w:name w:val="Heading 2 Char"/>
    <w:basedOn w:val="DefaultParagraphFont"/>
    <w:link w:val="Heading2"/>
    <w:uiPriority w:val="9"/>
    <w:semiHidden/>
    <w:rsid w:val="00996DC8"/>
    <w:rPr>
      <w:rFonts w:ascii="Tahoma" w:hAnsi="Tahoma" w:cs="Tahoma"/>
      <w:b/>
      <w:bCs/>
      <w:color w:val="4E3487"/>
      <w:kern w:val="0"/>
      <w:sz w:val="30"/>
      <w:szCs w:val="30"/>
      <w:lang w:eastAsia="en-GB"/>
      <w14:ligatures w14:val="none"/>
    </w:rPr>
  </w:style>
  <w:style w:type="character" w:customStyle="1" w:styleId="Heading3Char">
    <w:name w:val="Heading 3 Char"/>
    <w:basedOn w:val="DefaultParagraphFont"/>
    <w:link w:val="Heading3"/>
    <w:uiPriority w:val="9"/>
    <w:semiHidden/>
    <w:rsid w:val="00996DC8"/>
    <w:rPr>
      <w:rFonts w:ascii="Tahoma" w:hAnsi="Tahoma" w:cs="Tahoma"/>
      <w:b/>
      <w:bCs/>
      <w:color w:val="4E3487"/>
      <w:kern w:val="0"/>
      <w:sz w:val="27"/>
      <w:szCs w:val="27"/>
      <w:lang w:eastAsia="en-GB"/>
      <w14:ligatures w14:val="none"/>
    </w:rPr>
  </w:style>
  <w:style w:type="character" w:customStyle="1" w:styleId="Heading4Char">
    <w:name w:val="Heading 4 Char"/>
    <w:basedOn w:val="DefaultParagraphFont"/>
    <w:link w:val="Heading4"/>
    <w:uiPriority w:val="9"/>
    <w:semiHidden/>
    <w:rsid w:val="00996DC8"/>
    <w:rPr>
      <w:rFonts w:ascii="Tahoma" w:hAnsi="Tahoma" w:cs="Tahoma"/>
      <w:b/>
      <w:bCs/>
      <w:color w:val="FFFFFF"/>
      <w:kern w:val="0"/>
      <w:sz w:val="18"/>
      <w:szCs w:val="18"/>
      <w:lang w:eastAsia="en-GB"/>
      <w14:ligatures w14:val="none"/>
    </w:rPr>
  </w:style>
  <w:style w:type="paragraph" w:styleId="NormalWeb">
    <w:name w:val="Normal (Web)"/>
    <w:basedOn w:val="Normal"/>
    <w:uiPriority w:val="99"/>
    <w:semiHidden/>
    <w:unhideWhenUsed/>
    <w:rsid w:val="00996DC8"/>
    <w:pPr>
      <w:spacing w:before="100" w:beforeAutospacing="1" w:after="100" w:afterAutospacing="1"/>
    </w:pPr>
  </w:style>
  <w:style w:type="character" w:styleId="Strong">
    <w:name w:val="Strong"/>
    <w:basedOn w:val="DefaultParagraphFont"/>
    <w:uiPriority w:val="22"/>
    <w:qFormat/>
    <w:rsid w:val="00996DC8"/>
    <w:rPr>
      <w:b/>
      <w:bCs/>
    </w:rPr>
  </w:style>
  <w:style w:type="character" w:styleId="Hyperlink">
    <w:name w:val="Hyperlink"/>
    <w:basedOn w:val="DefaultParagraphFont"/>
    <w:uiPriority w:val="99"/>
    <w:semiHidden/>
    <w:unhideWhenUsed/>
    <w:rsid w:val="00996D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0990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nc.us7.list-manage.com/track/click?u=86d41ab7fa4c7c2c5d7210782&amp;id=67f8b17442&amp;e=d19e9fd41c" TargetMode="External"/><Relationship Id="rId13" Type="http://schemas.openxmlformats.org/officeDocument/2006/relationships/image" Target="media/image3.png"/><Relationship Id="rId18" Type="http://schemas.openxmlformats.org/officeDocument/2006/relationships/hyperlink" Target="https://psnc.us7.list-manage.com/track/click?u=86d41ab7fa4c7c2c5d7210782&amp;id=b2d8af1ca1&amp;e=d19e9fd41c" TargetMode="External"/><Relationship Id="rId26" Type="http://schemas.openxmlformats.org/officeDocument/2006/relationships/image" Target="https://psnc.us7.list-manage.com/track/open.php?u=86d41ab7fa4c7c2c5d7210782&amp;id=891945afc7&amp;e=d19e9fd41c" TargetMode="External"/><Relationship Id="rId3" Type="http://schemas.openxmlformats.org/officeDocument/2006/relationships/webSettings" Target="webSettings.xml"/><Relationship Id="rId21" Type="http://schemas.openxmlformats.org/officeDocument/2006/relationships/hyperlink" Target="https://psnc.us7.list-manage.com/track/click?u=86d41ab7fa4c7c2c5d7210782&amp;id=567758e048&amp;e=d19e9fd41c" TargetMode="External"/><Relationship Id="rId7" Type="http://schemas.openxmlformats.org/officeDocument/2006/relationships/image" Target="http://psnc.org.uk/wp-content/uploads/2013/11/Newsletter-style-bar.png" TargetMode="External"/><Relationship Id="rId12" Type="http://schemas.openxmlformats.org/officeDocument/2006/relationships/hyperlink" Target="https://psnc.us7.list-manage.com/track/click?u=86d41ab7fa4c7c2c5d7210782&amp;id=eedaf911e7&amp;e=d19e9fd41c" TargetMode="External"/><Relationship Id="rId17" Type="http://schemas.openxmlformats.org/officeDocument/2006/relationships/image" Target="https://gallery.mailchimp.com/86d41ab7fa4c7c2c5d7210782/images/e1475f6b-1081-4509-ab25-9cd7f83d26b2.png" TargetMode="External"/><Relationship Id="rId25" Type="http://schemas.openxmlformats.org/officeDocument/2006/relationships/image" Target="media/image7.gif"/><Relationship Id="rId2" Type="http://schemas.openxmlformats.org/officeDocument/2006/relationships/settings" Target="settings.xml"/><Relationship Id="rId16" Type="http://schemas.openxmlformats.org/officeDocument/2006/relationships/image" Target="media/image4.png"/><Relationship Id="rId20" Type="http://schemas.openxmlformats.org/officeDocument/2006/relationships/image" Target="https://gallery.mailchimp.com/86d41ab7fa4c7c2c5d7210782/images/cd088afd-0ac0-4498-8ed1-e4199bf882ce.png"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psnc.us7.list-manage.com/track/click?u=86d41ab7fa4c7c2c5d7210782&amp;id=440ed26eb1&amp;e=d19e9fd41c" TargetMode="External"/><Relationship Id="rId24" Type="http://schemas.openxmlformats.org/officeDocument/2006/relationships/hyperlink" Target="mailto:info@psnc.org.uk" TargetMode="External"/><Relationship Id="rId5" Type="http://schemas.openxmlformats.org/officeDocument/2006/relationships/image" Target="https://gallery.mailchimp.com/86d41ab7fa4c7c2c5d7210782/images/001d399a-96a4-4e1f-b905-a21d530b5d29.jpg" TargetMode="External"/><Relationship Id="rId15" Type="http://schemas.openxmlformats.org/officeDocument/2006/relationships/hyperlink" Target="https://psnc.us7.list-manage.com/track/click?u=86d41ab7fa4c7c2c5d7210782&amp;id=03851c2728&amp;e=d19e9fd41c" TargetMode="External"/><Relationship Id="rId23" Type="http://schemas.openxmlformats.org/officeDocument/2006/relationships/image" Target="https://gallery.mailchimp.com/86d41ab7fa4c7c2c5d7210782/images/f5c0845f-f39c-425d-8d3c-deff11493c50.png" TargetMode="External"/><Relationship Id="rId28" Type="http://schemas.openxmlformats.org/officeDocument/2006/relationships/theme" Target="theme/theme1.xml"/><Relationship Id="rId10" Type="http://schemas.openxmlformats.org/officeDocument/2006/relationships/hyperlink" Target="https://psnc.us7.list-manage.com/track/click?u=86d41ab7fa4c7c2c5d7210782&amp;id=e0d159f021&amp;e=d19e9fd41c" TargetMode="External"/><Relationship Id="rId19" Type="http://schemas.openxmlformats.org/officeDocument/2006/relationships/image" Target="media/image5.png"/><Relationship Id="rId4" Type="http://schemas.openxmlformats.org/officeDocument/2006/relationships/image" Target="media/image1.jpeg"/><Relationship Id="rId9" Type="http://schemas.openxmlformats.org/officeDocument/2006/relationships/hyperlink" Target="https://psnc.us7.list-manage.com/track/click?u=86d41ab7fa4c7c2c5d7210782&amp;id=a9a3b3376f&amp;e=d19e9fd41c" TargetMode="External"/><Relationship Id="rId14" Type="http://schemas.openxmlformats.org/officeDocument/2006/relationships/image" Target="https://gallery.mailchimp.com/86d41ab7fa4c7c2c5d7210782/images/5acd9cf1-bdba-4039-b74f-638b444ff5d8.png" TargetMode="External"/><Relationship Id="rId22" Type="http://schemas.openxmlformats.org/officeDocument/2006/relationships/image" Target="media/image6.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519</Words>
  <Characters>2963</Characters>
  <Application>Microsoft Office Word</Application>
  <DocSecurity>0</DocSecurity>
  <Lines>24</Lines>
  <Paragraphs>6</Paragraphs>
  <ScaleCrop>false</ScaleCrop>
  <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2023-05-04T07:01:00Z</dcterms:created>
  <dcterms:modified xsi:type="dcterms:W3CDTF">2023-05-04T07:02:00Z</dcterms:modified>
</cp:coreProperties>
</file>