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A577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0E225E38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This checklist will be completed by the </w:t>
            </w:r>
            <w:r w:rsidR="00A577C0">
              <w:rPr>
                <w:szCs w:val="28"/>
              </w:rPr>
              <w:t>CPHIOW</w:t>
            </w:r>
            <w:r>
              <w:rPr>
                <w:szCs w:val="28"/>
              </w:rPr>
              <w:t xml:space="preserve"> sub-committee for every new or recommissioned service specification sent to </w:t>
            </w:r>
            <w:r w:rsidR="00A577C0">
              <w:rPr>
                <w:szCs w:val="28"/>
              </w:rPr>
              <w:t>CPHIOW</w:t>
            </w:r>
            <w:r>
              <w:rPr>
                <w:szCs w:val="28"/>
              </w:rPr>
              <w:t xml:space="preserve">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2C00A5B7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the </w:t>
            </w:r>
            <w:r w:rsidR="00A577C0">
              <w:rPr>
                <w:szCs w:val="28"/>
              </w:rPr>
              <w:t>CPHIOW</w:t>
            </w:r>
            <w:r>
              <w:rPr>
                <w:szCs w:val="28"/>
              </w:rPr>
              <w:t xml:space="preserve"> sub-committee’s comments/recommendations for any requested changes to the proposed/draft service specification </w:t>
            </w:r>
            <w:proofErr w:type="gramStart"/>
            <w:r>
              <w:rPr>
                <w:szCs w:val="28"/>
              </w:rPr>
              <w:t>in order to</w:t>
            </w:r>
            <w:proofErr w:type="gramEnd"/>
            <w:r>
              <w:rPr>
                <w:szCs w:val="28"/>
              </w:rPr>
              <w:t xml:space="preserve">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11F0134E" w:rsidR="00045F43" w:rsidRPr="00CF09FC" w:rsidRDefault="00A577C0" w:rsidP="00B3219E">
            <w:pPr>
              <w:rPr>
                <w:szCs w:val="28"/>
              </w:rPr>
            </w:pPr>
            <w:r>
              <w:rPr>
                <w:szCs w:val="28"/>
              </w:rPr>
              <w:t>CPHIOW</w:t>
            </w:r>
            <w:r w:rsidR="00045F43">
              <w:rPr>
                <w:szCs w:val="28"/>
              </w:rPr>
              <w:t>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2D1E4AC" w14:textId="7EC4888D" w:rsidR="00C33DBE" w:rsidRDefault="00C33DBE" w:rsidP="00C33D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Provision of </w:t>
            </w:r>
            <w:r w:rsidR="0020633F">
              <w:rPr>
                <w:b/>
                <w:bCs/>
                <w:szCs w:val="28"/>
              </w:rPr>
              <w:t xml:space="preserve">Varenicline and </w:t>
            </w:r>
            <w:proofErr w:type="spellStart"/>
            <w:r w:rsidR="00AD2CBF" w:rsidRPr="00AD2CBF">
              <w:rPr>
                <w:b/>
                <w:bCs/>
                <w:szCs w:val="28"/>
              </w:rPr>
              <w:t>Cytisine</w:t>
            </w:r>
            <w:proofErr w:type="spellEnd"/>
            <w:r w:rsidR="00AD2CBF">
              <w:rPr>
                <w:b/>
                <w:bCs/>
                <w:szCs w:val="28"/>
              </w:rPr>
              <w:t xml:space="preserve"> PGDs</w:t>
            </w:r>
          </w:p>
          <w:p w14:paraId="694596D0" w14:textId="1A6E22A4" w:rsidR="00742AAF" w:rsidRDefault="00AD2CBF" w:rsidP="00C33DBE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Hampshire County</w:t>
            </w:r>
            <w:r w:rsidR="00C33DBE">
              <w:rPr>
                <w:b/>
                <w:bCs/>
                <w:szCs w:val="28"/>
              </w:rPr>
              <w:t xml:space="preserve"> C</w:t>
            </w:r>
            <w:r w:rsidR="00AA55FE">
              <w:rPr>
                <w:b/>
                <w:bCs/>
                <w:szCs w:val="28"/>
              </w:rPr>
              <w:t>ouncil</w:t>
            </w:r>
            <w:r>
              <w:rPr>
                <w:b/>
                <w:bCs/>
                <w:szCs w:val="28"/>
              </w:rPr>
              <w:t xml:space="preserve"> &amp; IOW Council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11EC82F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Response summary feedback from </w:t>
            </w:r>
            <w:r w:rsidR="00A577C0">
              <w:rPr>
                <w:b/>
                <w:sz w:val="28"/>
                <w:szCs w:val="28"/>
              </w:rPr>
              <w:t>CPHIOW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AD2CBF">
        <w:trPr>
          <w:trHeight w:val="575"/>
        </w:trPr>
        <w:tc>
          <w:tcPr>
            <w:tcW w:w="8217" w:type="dxa"/>
            <w:gridSpan w:val="4"/>
            <w:shd w:val="clear" w:color="auto" w:fill="FF000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FF000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67EDABAB" w:rsidR="00045F43" w:rsidRDefault="00A577C0" w:rsidP="00B3219E">
            <w:pPr>
              <w:rPr>
                <w:szCs w:val="28"/>
              </w:rPr>
            </w:pPr>
            <w:r>
              <w:rPr>
                <w:szCs w:val="28"/>
              </w:rPr>
              <w:t>CPHIOW</w:t>
            </w:r>
            <w:r w:rsidR="00045F43">
              <w:rPr>
                <w:szCs w:val="28"/>
              </w:rPr>
              <w:t xml:space="preserve"> has rated this service specification as </w:t>
            </w:r>
            <w:r w:rsidR="00AD2CBF">
              <w:rPr>
                <w:szCs w:val="28"/>
              </w:rPr>
              <w:t>RED</w:t>
            </w:r>
            <w:r w:rsidR="00045F43"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10F7CC96" w14:textId="24CEEC9B" w:rsidR="00045F43" w:rsidRPr="0073541F" w:rsidRDefault="0069053F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Appropriate funding for Pharmacist time</w:t>
            </w: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7EE9634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</w:t>
            </w:r>
            <w:r w:rsidR="00A577C0">
              <w:rPr>
                <w:b/>
                <w:sz w:val="28"/>
                <w:szCs w:val="28"/>
              </w:rPr>
              <w:t>CPHIOW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43FAE9B3" w:rsidR="00045F43" w:rsidRDefault="00A577C0" w:rsidP="00B3219E">
            <w:r>
              <w:t>CPHIOW</w:t>
            </w:r>
            <w:r w:rsidR="00045F43">
              <w:t xml:space="preserve"> will publish this service participation rating to contractors in </w:t>
            </w:r>
            <w:r w:rsidR="00045F43">
              <w:rPr>
                <w:b/>
              </w:rPr>
              <w:t>10 days’ time.</w:t>
            </w:r>
            <w:r w:rsidR="00045F43"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4FD53273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</w:t>
            </w:r>
            <w:r w:rsidR="00A577C0">
              <w:rPr>
                <w:color w:val="FF0000"/>
              </w:rPr>
              <w:t>CPHIOW</w:t>
            </w:r>
            <w:r>
              <w:rPr>
                <w:color w:val="FF0000"/>
              </w:rPr>
              <w:t>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51B19D36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Commissioners</w:t>
            </w:r>
            <w:proofErr w:type="gramEnd"/>
            <w:r>
              <w:rPr>
                <w:b/>
                <w:sz w:val="28"/>
                <w:szCs w:val="28"/>
              </w:rPr>
              <w:t xml:space="preserve"> response to </w:t>
            </w:r>
            <w:r w:rsidR="00A577C0">
              <w:rPr>
                <w:b/>
                <w:sz w:val="28"/>
                <w:szCs w:val="28"/>
              </w:rPr>
              <w:t>CPHIOW</w:t>
            </w:r>
            <w:r>
              <w:rPr>
                <w:b/>
                <w:sz w:val="28"/>
                <w:szCs w:val="28"/>
              </w:rPr>
              <w:t xml:space="preserve">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B516DE">
        <w:trPr>
          <w:trHeight w:val="2684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78023379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</w:t>
              </w:r>
              <w:r w:rsidR="00A577C0">
                <w:rPr>
                  <w:rStyle w:val="Hyperlink"/>
                </w:rPr>
                <w:t>CPHIOW</w:t>
              </w:r>
              <w:r w:rsidRPr="000F5B92">
                <w:rPr>
                  <w:rStyle w:val="Hyperlink"/>
                </w:rPr>
                <w:t>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77C45E9C" w:rsidR="00045F43" w:rsidRPr="0053198F" w:rsidRDefault="00A577C0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CPHIOW</w:t>
            </w:r>
            <w:r w:rsidR="00045F43"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D05513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2CBAA9B" w:rsidR="00045F43" w:rsidRDefault="00A577C0" w:rsidP="009163F2">
            <w:r>
              <w:t>CPHIOW</w:t>
            </w:r>
            <w:r w:rsidR="00045F43">
              <w:t xml:space="preserve">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3D3DCEDC" w:rsidR="00045F43" w:rsidRDefault="00B516DE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D05513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3015AC1A" w:rsidR="00045F43" w:rsidRDefault="00A577C0" w:rsidP="009163F2">
            <w:r>
              <w:t>CPHIOW</w:t>
            </w:r>
            <w:r w:rsidR="00045F43">
              <w:t xml:space="preserve">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1AE2CB11" w:rsidR="00045F43" w:rsidRDefault="00B516DE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5A5938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5C214E2C" w14:textId="30713EC3" w:rsidR="00045F43" w:rsidRDefault="005A5938" w:rsidP="009163F2">
            <w:r>
              <w:t xml:space="preserve">No </w:t>
            </w:r>
            <w:r w:rsidR="00BE263A">
              <w:t xml:space="preserve">costs for </w:t>
            </w:r>
            <w:r w:rsidR="00D05513">
              <w:t>increased insurance or SOP creation.</w:t>
            </w:r>
          </w:p>
          <w:p w14:paraId="7B22C556" w14:textId="77777777" w:rsidR="005A5938" w:rsidRDefault="005A5938" w:rsidP="009163F2"/>
          <w:p w14:paraId="0708EEB4" w14:textId="7FF97650" w:rsidR="005A5938" w:rsidRDefault="005A5938" w:rsidP="009163F2">
            <w:r>
              <w:t>No backfill to allow for pharmacist training time.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53E1C888" w14:textId="77777777" w:rsidR="00045F43" w:rsidRDefault="00045F43" w:rsidP="009163F2"/>
        </w:tc>
      </w:tr>
      <w:tr w:rsidR="00045F43" w14:paraId="6A7452EE" w14:textId="683C8EE8" w:rsidTr="00D05513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141EB6E3" w14:textId="77777777" w:rsidR="00EF07DA" w:rsidRDefault="00EF07DA" w:rsidP="009163F2">
            <w:r>
              <w:t xml:space="preserve"> </w:t>
            </w:r>
            <w:r w:rsidR="005A5938">
              <w:t>Yes, PharmOutcomes</w:t>
            </w:r>
          </w:p>
          <w:p w14:paraId="2D60E9A1" w14:textId="77777777" w:rsidR="005B4217" w:rsidRDefault="005B4217" w:rsidP="009163F2"/>
          <w:p w14:paraId="6BBA7055" w14:textId="530729A0" w:rsidR="005B4217" w:rsidRDefault="005B4217" w:rsidP="009163F2">
            <w:r>
              <w:t xml:space="preserve">Payment </w:t>
            </w:r>
            <w:r w:rsidR="00D05513">
              <w:t>within 30 days of receipt of invoice.</w:t>
            </w:r>
          </w:p>
        </w:tc>
        <w:tc>
          <w:tcPr>
            <w:tcW w:w="799" w:type="dxa"/>
            <w:shd w:val="clear" w:color="auto" w:fill="00B050"/>
          </w:tcPr>
          <w:p w14:paraId="76434B92" w14:textId="77777777" w:rsidR="00045F43" w:rsidRDefault="00045F43" w:rsidP="009163F2"/>
        </w:tc>
      </w:tr>
      <w:tr w:rsidR="00045F43" w14:paraId="217E4207" w14:textId="1813678C" w:rsidTr="00D05513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 xml:space="preserve">Where </w:t>
            </w:r>
            <w:proofErr w:type="gramStart"/>
            <w:r>
              <w:t>equipment is</w:t>
            </w:r>
            <w:proofErr w:type="gramEnd"/>
            <w:r>
              <w:t xml:space="preserve">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5791743" w14:textId="512FAB71" w:rsidR="00EF07DA" w:rsidRDefault="00D05513" w:rsidP="009163F2">
            <w:r>
              <w:t>No additional equipment required for the PGD.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4A5704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1AFEEC2C" w14:textId="655447E3" w:rsidR="009163F2" w:rsidRDefault="00D05513" w:rsidP="009163F2">
            <w:r>
              <w:t>No</w:t>
            </w:r>
          </w:p>
          <w:p w14:paraId="63F96205" w14:textId="3DA5C8DF" w:rsidR="004A5704" w:rsidRDefault="004A5704" w:rsidP="009163F2">
            <w:r>
              <w:t>Fee does not cover cost of pharmacist time to deliver the service.</w:t>
            </w:r>
          </w:p>
          <w:p w14:paraId="350BE712" w14:textId="65797198" w:rsidR="00F259B9" w:rsidRDefault="00F259B9" w:rsidP="009163F2"/>
        </w:tc>
        <w:tc>
          <w:tcPr>
            <w:tcW w:w="799" w:type="dxa"/>
            <w:shd w:val="clear" w:color="auto" w:fill="FF0000"/>
          </w:tcPr>
          <w:p w14:paraId="26B96ACC" w14:textId="77777777" w:rsidR="00045F43" w:rsidRDefault="00045F43" w:rsidP="009163F2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701C86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311E7223" w:rsidR="00045F43" w:rsidRDefault="00701C86" w:rsidP="009163F2">
            <w:r>
              <w:t>No</w:t>
            </w:r>
          </w:p>
        </w:tc>
        <w:tc>
          <w:tcPr>
            <w:tcW w:w="799" w:type="dxa"/>
            <w:shd w:val="clear" w:color="auto" w:fill="FF0000"/>
          </w:tcPr>
          <w:p w14:paraId="4EF5A10D" w14:textId="77777777" w:rsidR="00045F43" w:rsidRDefault="00045F43" w:rsidP="009163F2"/>
        </w:tc>
      </w:tr>
      <w:tr w:rsidR="00045F43" w14:paraId="5B62E8E4" w14:textId="597D134F" w:rsidTr="008F5282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19066C9C" w14:textId="7BB7D7A7" w:rsidR="008138B5" w:rsidRDefault="008F5282" w:rsidP="009163F2">
            <w:r>
              <w:t xml:space="preserve">One </w:t>
            </w:r>
            <w:proofErr w:type="gramStart"/>
            <w:r>
              <w:t>year</w:t>
            </w:r>
            <w:r>
              <w:t xml:space="preserve">  </w:t>
            </w:r>
            <w:r w:rsidR="00C26312">
              <w:t>1</w:t>
            </w:r>
            <w:proofErr w:type="gramEnd"/>
            <w:r w:rsidR="00C26312">
              <w:t>/4/25 – 31/3/26</w:t>
            </w:r>
            <w:r>
              <w:t xml:space="preserve"> </w:t>
            </w:r>
          </w:p>
          <w:p w14:paraId="4A28F0C3" w14:textId="77777777" w:rsidR="00C26312" w:rsidRDefault="00C26312" w:rsidP="009163F2"/>
          <w:p w14:paraId="588AAEDB" w14:textId="5A38877E" w:rsidR="00C26312" w:rsidRDefault="00C26312" w:rsidP="009163F2">
            <w:r>
              <w:t>Option for commissioner to extend</w:t>
            </w:r>
          </w:p>
        </w:tc>
        <w:tc>
          <w:tcPr>
            <w:tcW w:w="799" w:type="dxa"/>
            <w:shd w:val="clear" w:color="auto" w:fill="FFC000"/>
          </w:tcPr>
          <w:p w14:paraId="2E5AA34E" w14:textId="77777777" w:rsidR="00045F43" w:rsidRDefault="00045F43" w:rsidP="009163F2"/>
        </w:tc>
      </w:tr>
      <w:tr w:rsidR="00F804E5" w14:paraId="16A74219" w14:textId="68E13121" w:rsidTr="008F5282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F804E5" w:rsidRDefault="00F804E5" w:rsidP="009163F2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037BD525" w14:textId="77777777" w:rsidR="00F804E5" w:rsidRDefault="00C26312" w:rsidP="009163F2">
            <w:r>
              <w:t>Yes</w:t>
            </w:r>
          </w:p>
          <w:p w14:paraId="40AC9D98" w14:textId="77777777" w:rsidR="000D59B6" w:rsidRPr="003566B8" w:rsidRDefault="000D59B6" w:rsidP="000D59B6">
            <w:pPr>
              <w:spacing w:after="200"/>
              <w:rPr>
                <w:rFonts w:cstheme="minorHAnsi"/>
              </w:rPr>
            </w:pPr>
            <w:r w:rsidRPr="003566B8">
              <w:rPr>
                <w:rFonts w:cstheme="minorHAnsi"/>
              </w:rPr>
              <w:t xml:space="preserve">NICE MPG2 Patient Group Directions (Aug 2013) </w:t>
            </w:r>
            <w:hyperlink r:id="rId9" w:history="1">
              <w:r w:rsidRPr="003566B8">
                <w:rPr>
                  <w:rStyle w:val="Hyperlink"/>
                  <w:rFonts w:cstheme="minorHAnsi"/>
                </w:rPr>
                <w:t>https://www.nice.org.uk/guidance/mpg2</w:t>
              </w:r>
            </w:hyperlink>
          </w:p>
          <w:p w14:paraId="2A8A4C8B" w14:textId="3926B00E" w:rsidR="000D59B6" w:rsidRDefault="000D59B6" w:rsidP="000D59B6">
            <w:r w:rsidRPr="003566B8">
              <w:rPr>
                <w:rFonts w:cstheme="minorHAnsi"/>
              </w:rPr>
              <w:lastRenderedPageBreak/>
              <w:t xml:space="preserve">NICE TA123 – </w:t>
            </w:r>
            <w:r>
              <w:rPr>
                <w:rFonts w:cstheme="minorHAnsi"/>
              </w:rPr>
              <w:t>Varenicline</w:t>
            </w:r>
            <w:r w:rsidRPr="003566B8">
              <w:rPr>
                <w:rFonts w:cstheme="minorHAnsi"/>
              </w:rPr>
              <w:t xml:space="preserve"> for Smoking Cessation (</w:t>
            </w:r>
            <w:hyperlink r:id="rId10" w:history="1">
              <w:r w:rsidRPr="003566B8">
                <w:rPr>
                  <w:rFonts w:cstheme="minorHAnsi"/>
                  <w:color w:val="0000FF"/>
                  <w:u w:val="single"/>
                </w:rPr>
                <w:t>https://www.nice.org.uk/guidance/ta123</w:t>
              </w:r>
            </w:hyperlink>
            <w:r w:rsidRPr="003566B8">
              <w:rPr>
                <w:rFonts w:cstheme="minorHAnsi"/>
              </w:rPr>
              <w:t xml:space="preserve"> )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2D4AD3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804E5" w:rsidRDefault="00F804E5" w:rsidP="009163F2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5080B8" w14:textId="77777777" w:rsidR="00F804E5" w:rsidRDefault="00701C86" w:rsidP="009163F2">
            <w:r>
              <w:t>Yes</w:t>
            </w:r>
          </w:p>
          <w:p w14:paraId="62F7E86C" w14:textId="67A1F0ED" w:rsidR="00FF3524" w:rsidRDefault="00BD0BF7" w:rsidP="009163F2">
            <w:r>
              <w:t>Mak</w:t>
            </w:r>
            <w:r>
              <w:t>es</w:t>
            </w:r>
            <w:r>
              <w:t xml:space="preserve"> it easier for patients to access varenicline rather than having to see GP</w:t>
            </w:r>
            <w:r>
              <w:t>/ prescriber</w:t>
            </w:r>
            <w:r>
              <w:t xml:space="preserve"> for </w:t>
            </w:r>
            <w:r>
              <w:t xml:space="preserve">a </w:t>
            </w:r>
            <w:r>
              <w:t>prescription.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2D4AD3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804E5" w:rsidRDefault="00F804E5" w:rsidP="009163F2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3910F31C" w14:textId="101850EA" w:rsidR="00701C86" w:rsidRDefault="00701C86" w:rsidP="009163F2">
            <w:r>
              <w:t>Yes</w:t>
            </w:r>
          </w:p>
          <w:p w14:paraId="71562EE9" w14:textId="785CBAB1" w:rsidR="00701C86" w:rsidRDefault="00701C86" w:rsidP="009163F2">
            <w:r>
              <w:t>Notice period 1 month</w:t>
            </w:r>
            <w:r w:rsidR="0050168B">
              <w:t>.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F804E5" w:rsidRDefault="00F804E5" w:rsidP="009163F2"/>
        </w:tc>
      </w:tr>
      <w:tr w:rsidR="00F804E5" w14:paraId="2FF73E44" w14:textId="375D1898" w:rsidTr="002D4AD3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F804E5" w:rsidRDefault="00F804E5" w:rsidP="009163F2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68D4681C" w14:textId="77777777" w:rsidR="00F804E5" w:rsidRDefault="00701C86" w:rsidP="009163F2">
            <w:r>
              <w:t>Yes</w:t>
            </w:r>
          </w:p>
          <w:p w14:paraId="1DF7369F" w14:textId="129850B4" w:rsidR="008E1AE7" w:rsidRDefault="008E1AE7" w:rsidP="009163F2">
            <w:r>
              <w:t xml:space="preserve">Other </w:t>
            </w:r>
            <w:r w:rsidR="00CA4437">
              <w:t>s</w:t>
            </w:r>
            <w:r>
              <w:t xml:space="preserve">top smoking </w:t>
            </w:r>
            <w:r w:rsidR="00CA4437">
              <w:t>service providers can signpost patients in</w:t>
            </w:r>
            <w:r w:rsidR="0050168B">
              <w:t>.</w:t>
            </w:r>
            <w:r>
              <w:t xml:space="preserve"> 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F804E5" w:rsidRDefault="00F804E5" w:rsidP="009163F2"/>
        </w:tc>
      </w:tr>
      <w:tr w:rsidR="000F11B9" w14:paraId="0FE6FE36" w14:textId="77777777" w:rsidTr="002D4AD3">
        <w:trPr>
          <w:trHeight w:val="284"/>
        </w:trPr>
        <w:tc>
          <w:tcPr>
            <w:tcW w:w="2733" w:type="dxa"/>
            <w:gridSpan w:val="3"/>
            <w:vAlign w:val="center"/>
          </w:tcPr>
          <w:p w14:paraId="5AB78A63" w14:textId="30581BCF" w:rsidR="000F11B9" w:rsidRDefault="00EB0EFC" w:rsidP="009163F2">
            <w:r>
              <w:t>E</w:t>
            </w:r>
            <w:r w:rsidR="000F11B9">
              <w:t>quality</w:t>
            </w:r>
            <w:r w:rsidR="00A3374B">
              <w:t>, diversity, and inclusion</w:t>
            </w:r>
            <w:r w:rsidR="002E2966">
              <w:t xml:space="preserve"> </w:t>
            </w:r>
            <w:r w:rsidR="0054344E">
              <w:t>considered?</w:t>
            </w:r>
          </w:p>
        </w:tc>
        <w:tc>
          <w:tcPr>
            <w:tcW w:w="5484" w:type="dxa"/>
            <w:shd w:val="clear" w:color="auto" w:fill="auto"/>
          </w:tcPr>
          <w:p w14:paraId="4E44CEA8" w14:textId="1BE3FDF8" w:rsidR="000F11B9" w:rsidRDefault="0054378E" w:rsidP="009163F2">
            <w:r>
              <w:t xml:space="preserve">Service and </w:t>
            </w:r>
            <w:r w:rsidR="002D4AD3">
              <w:t xml:space="preserve">PGD </w:t>
            </w:r>
            <w:r>
              <w:t>supply available to all patients who smoke</w:t>
            </w:r>
            <w:r w:rsidR="00365809">
              <w:t xml:space="preserve"> and meet the eligibility criteria.</w:t>
            </w:r>
            <w:r>
              <w:t xml:space="preserve"> </w:t>
            </w:r>
          </w:p>
        </w:tc>
        <w:tc>
          <w:tcPr>
            <w:tcW w:w="799" w:type="dxa"/>
            <w:shd w:val="clear" w:color="auto" w:fill="00B050"/>
          </w:tcPr>
          <w:p w14:paraId="40B8E2F1" w14:textId="77777777" w:rsidR="000F11B9" w:rsidRDefault="000F11B9" w:rsidP="009163F2"/>
        </w:tc>
      </w:tr>
      <w:tr w:rsidR="00F804E5" w14:paraId="0663853B" w14:textId="5B49B9CC" w:rsidTr="002D4AD3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3FCC49AC" w:rsidR="00F804E5" w:rsidRDefault="00701C86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086526" w14:paraId="472C4A94" w14:textId="77777777" w:rsidTr="002D4AD3">
        <w:trPr>
          <w:trHeight w:val="359"/>
        </w:trPr>
        <w:tc>
          <w:tcPr>
            <w:tcW w:w="2733" w:type="dxa"/>
            <w:gridSpan w:val="3"/>
            <w:vAlign w:val="center"/>
          </w:tcPr>
          <w:p w14:paraId="38ED4833" w14:textId="4F53A35D" w:rsidR="00086526" w:rsidRDefault="00A45827" w:rsidP="009163F2">
            <w:r>
              <w:t xml:space="preserve">Delivery </w:t>
            </w:r>
            <w:r w:rsidR="00F709A1">
              <w:t>i</w:t>
            </w:r>
            <w:r w:rsidR="00086526">
              <w:t xml:space="preserve">mpact </w:t>
            </w:r>
            <w:r>
              <w:t>o</w:t>
            </w:r>
            <w:r w:rsidR="004E6528">
              <w:t>n</w:t>
            </w:r>
            <w:r>
              <w:t xml:space="preserve"> staff (High/ Medium/Low)</w:t>
            </w:r>
          </w:p>
        </w:tc>
        <w:tc>
          <w:tcPr>
            <w:tcW w:w="5484" w:type="dxa"/>
            <w:shd w:val="clear" w:color="auto" w:fill="auto"/>
          </w:tcPr>
          <w:p w14:paraId="01F798BC" w14:textId="276E95BB" w:rsidR="00086526" w:rsidRDefault="00BD54CD" w:rsidP="009163F2">
            <w:r>
              <w:t>Low</w:t>
            </w:r>
          </w:p>
        </w:tc>
        <w:tc>
          <w:tcPr>
            <w:tcW w:w="799" w:type="dxa"/>
            <w:shd w:val="clear" w:color="auto" w:fill="00B050"/>
          </w:tcPr>
          <w:p w14:paraId="12AB0D5C" w14:textId="77777777" w:rsidR="00086526" w:rsidRDefault="00086526" w:rsidP="009163F2"/>
        </w:tc>
      </w:tr>
      <w:tr w:rsidR="00F804E5" w14:paraId="3E4D7843" w14:textId="7703C887" w:rsidTr="00BD54CD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804E5" w:rsidRDefault="00F804E5" w:rsidP="009163F2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16AC0907" w14:textId="77777777" w:rsidR="00F804E5" w:rsidRDefault="00BD54CD" w:rsidP="009163F2">
            <w:r>
              <w:t>No</w:t>
            </w:r>
          </w:p>
          <w:p w14:paraId="5FA7AABA" w14:textId="57904636" w:rsidR="00F20236" w:rsidRDefault="00F20236" w:rsidP="009163F2">
            <w:r>
              <w:t>No guarantee of numbers of people accessing the service</w:t>
            </w:r>
          </w:p>
        </w:tc>
        <w:tc>
          <w:tcPr>
            <w:tcW w:w="799" w:type="dxa"/>
            <w:shd w:val="clear" w:color="auto" w:fill="FF0000"/>
          </w:tcPr>
          <w:p w14:paraId="6730DB4D" w14:textId="77777777" w:rsidR="00F804E5" w:rsidRDefault="00F804E5" w:rsidP="009163F2"/>
        </w:tc>
      </w:tr>
      <w:tr w:rsidR="00F804E5" w14:paraId="2F208423" w14:textId="5D45183A" w:rsidTr="002D4AD3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7D9097E7" w14:textId="3584E25B" w:rsidR="00F804E5" w:rsidRDefault="004E537D" w:rsidP="009163F2">
            <w:r>
              <w:t xml:space="preserve">PGD alone – no. Main stop smoking service has </w:t>
            </w:r>
            <w:r w:rsidR="00F20236">
              <w:t>performance criteria.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2D4AD3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39E8CB" w14:textId="0F24DC3F" w:rsidR="00F804E5" w:rsidRDefault="00861371" w:rsidP="009163F2">
            <w:r>
              <w:t>Y</w:t>
            </w:r>
            <w:r w:rsidR="0054378E">
              <w:t>e</w:t>
            </w:r>
            <w:r>
              <w:t>s</w:t>
            </w:r>
          </w:p>
          <w:p w14:paraId="53A479F4" w14:textId="192B46AC" w:rsidR="00F804E5" w:rsidRDefault="00F804E5" w:rsidP="009163F2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BD54CD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F804E5" w:rsidRDefault="00F804E5" w:rsidP="009163F2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32202AE7" w14:textId="77777777" w:rsidR="00F804E5" w:rsidRDefault="00861371" w:rsidP="009163F2">
            <w:r>
              <w:t>No</w:t>
            </w:r>
          </w:p>
          <w:p w14:paraId="61891A67" w14:textId="750E5572" w:rsidR="0086362F" w:rsidRDefault="0086362F" w:rsidP="009163F2">
            <w:r>
              <w:t>Follow up supply remuneration does not</w:t>
            </w:r>
            <w:r w:rsidR="0097117B">
              <w:t xml:space="preserve"> cover pharmacist cost to deliver the PGD.</w:t>
            </w:r>
            <w:r>
              <w:t xml:space="preserve"> 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0000"/>
          </w:tcPr>
          <w:p w14:paraId="45C16D58" w14:textId="77777777" w:rsidR="00F804E5" w:rsidRDefault="00F804E5" w:rsidP="009163F2"/>
        </w:tc>
      </w:tr>
      <w:tr w:rsidR="00F804E5" w14:paraId="7D161ADB" w14:textId="70A1118C" w:rsidTr="002D4AD3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804E5" w:rsidRDefault="00F804E5" w:rsidP="009163F2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B133195" w14:textId="0EA32E4A" w:rsidR="00F804E5" w:rsidRDefault="0097117B" w:rsidP="009163F2">
            <w:r>
              <w:t>Yes</w:t>
            </w:r>
          </w:p>
          <w:p w14:paraId="29A0136E" w14:textId="4A35D00B" w:rsidR="0097117B" w:rsidRDefault="0097117B" w:rsidP="009163F2">
            <w:r>
              <w:t>Pharm</w:t>
            </w:r>
            <w:r w:rsidR="00337EE7">
              <w:t>O</w:t>
            </w:r>
            <w:r>
              <w:t>utcomes</w:t>
            </w:r>
            <w:r w:rsidR="00337EE7">
              <w:t>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9163F2"/>
        </w:tc>
      </w:tr>
      <w:tr w:rsidR="00F804E5" w14:paraId="0A0C87A0" w14:textId="374D2E97" w:rsidTr="002D4AD3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804E5" w:rsidRDefault="00F804E5" w:rsidP="009163F2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43D5E05B" w14:textId="20C1ECEF" w:rsidR="00F804E5" w:rsidRDefault="0097117B" w:rsidP="009163F2">
            <w:r>
              <w:t>Yes</w:t>
            </w:r>
          </w:p>
          <w:p w14:paraId="27783404" w14:textId="59E89329" w:rsidR="0097117B" w:rsidRDefault="0097117B" w:rsidP="009163F2">
            <w:r>
              <w:t>No mandatory training for PGD.</w:t>
            </w:r>
          </w:p>
          <w:p w14:paraId="32874270" w14:textId="7B1A2011" w:rsidR="00F804E5" w:rsidRDefault="00F804E5" w:rsidP="009163F2"/>
        </w:tc>
        <w:tc>
          <w:tcPr>
            <w:tcW w:w="799" w:type="dxa"/>
            <w:shd w:val="clear" w:color="auto" w:fill="00B050"/>
          </w:tcPr>
          <w:p w14:paraId="2701175F" w14:textId="77777777" w:rsidR="00F804E5" w:rsidRDefault="00F804E5" w:rsidP="009163F2"/>
        </w:tc>
      </w:tr>
      <w:tr w:rsidR="00F804E5" w14:paraId="21CF59AB" w14:textId="27325A9E" w:rsidTr="002D4AD3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F804E5" w:rsidRDefault="00F804E5" w:rsidP="009163F2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7985ED83" w14:textId="67D2D488" w:rsidR="00F804E5" w:rsidRDefault="00337EE7" w:rsidP="009163F2">
            <w:r>
              <w:t>Yes</w:t>
            </w:r>
          </w:p>
          <w:p w14:paraId="4646B660" w14:textId="2A779FAF" w:rsidR="00337EE7" w:rsidRDefault="00337EE7" w:rsidP="009163F2">
            <w:r>
              <w:t>All records stored on PharmOutcomes.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F804E5" w:rsidRDefault="00F804E5" w:rsidP="009163F2"/>
        </w:tc>
      </w:tr>
      <w:tr w:rsidR="00F804E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916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804E5" w:rsidRDefault="00F804E5" w:rsidP="009163F2">
            <w:r>
              <w:t>Any other information specific to this service.</w:t>
            </w:r>
          </w:p>
        </w:tc>
        <w:tc>
          <w:tcPr>
            <w:tcW w:w="5484" w:type="dxa"/>
          </w:tcPr>
          <w:p w14:paraId="0387A859" w14:textId="44CEE7AE" w:rsidR="00F804E5" w:rsidRDefault="00F804E5" w:rsidP="009163F2"/>
        </w:tc>
        <w:tc>
          <w:tcPr>
            <w:tcW w:w="799" w:type="dxa"/>
          </w:tcPr>
          <w:p w14:paraId="6AF58629" w14:textId="77777777" w:rsidR="00F804E5" w:rsidRDefault="00F804E5" w:rsidP="009163F2"/>
        </w:tc>
      </w:tr>
      <w:tr w:rsidR="00F804E5" w14:paraId="755419F6" w14:textId="6BD7B556" w:rsidTr="002D4AD3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804E5" w:rsidRDefault="00F804E5" w:rsidP="009163F2">
            <w:r>
              <w:t>Suggested RAG Rating</w:t>
            </w:r>
          </w:p>
        </w:tc>
        <w:tc>
          <w:tcPr>
            <w:tcW w:w="5484" w:type="dxa"/>
            <w:shd w:val="clear" w:color="auto" w:fill="FF0000"/>
          </w:tcPr>
          <w:p w14:paraId="4269F11F" w14:textId="77777777" w:rsidR="00F804E5" w:rsidRDefault="00F804E5" w:rsidP="009163F2"/>
        </w:tc>
        <w:tc>
          <w:tcPr>
            <w:tcW w:w="799" w:type="dxa"/>
            <w:shd w:val="clear" w:color="auto" w:fill="FF0000"/>
          </w:tcPr>
          <w:p w14:paraId="4D549C5A" w14:textId="77777777" w:rsidR="00F804E5" w:rsidRDefault="00F804E5" w:rsidP="009163F2"/>
        </w:tc>
      </w:tr>
    </w:tbl>
    <w:p w14:paraId="3674DB31" w14:textId="77777777" w:rsidR="00835D38" w:rsidRDefault="00835D38" w:rsidP="009163F2"/>
    <w:sectPr w:rsidR="00835D38" w:rsidSect="00560E7B">
      <w:headerReference w:type="default" r:id="rId11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D0F77" w14:textId="77777777" w:rsidR="0086196B" w:rsidRDefault="0086196B" w:rsidP="00976447">
      <w:pPr>
        <w:spacing w:after="0" w:line="240" w:lineRule="auto"/>
      </w:pPr>
      <w:r>
        <w:separator/>
      </w:r>
    </w:p>
  </w:endnote>
  <w:endnote w:type="continuationSeparator" w:id="0">
    <w:p w14:paraId="08EEC986" w14:textId="77777777" w:rsidR="0086196B" w:rsidRDefault="0086196B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21843" w14:textId="77777777" w:rsidR="0086196B" w:rsidRDefault="0086196B" w:rsidP="00976447">
      <w:pPr>
        <w:spacing w:after="0" w:line="240" w:lineRule="auto"/>
      </w:pPr>
      <w:r>
        <w:separator/>
      </w:r>
    </w:p>
  </w:footnote>
  <w:footnote w:type="continuationSeparator" w:id="0">
    <w:p w14:paraId="568DFDDB" w14:textId="77777777" w:rsidR="0086196B" w:rsidRDefault="0086196B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E1E0C89" w14:textId="529B2009" w:rsidR="00976447" w:rsidRDefault="007A694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741466">
    <w:abstractNumId w:val="1"/>
  </w:num>
  <w:num w:numId="2" w16cid:durableId="2023512340">
    <w:abstractNumId w:val="0"/>
  </w:num>
  <w:num w:numId="3" w16cid:durableId="168378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5F43"/>
    <w:rsid w:val="0007423A"/>
    <w:rsid w:val="00074984"/>
    <w:rsid w:val="00086526"/>
    <w:rsid w:val="000A34AA"/>
    <w:rsid w:val="000C0217"/>
    <w:rsid w:val="000D39CA"/>
    <w:rsid w:val="000D51A7"/>
    <w:rsid w:val="000D59B6"/>
    <w:rsid w:val="000D6178"/>
    <w:rsid w:val="000F11B9"/>
    <w:rsid w:val="000F4BE3"/>
    <w:rsid w:val="00100477"/>
    <w:rsid w:val="00120B8B"/>
    <w:rsid w:val="001404CF"/>
    <w:rsid w:val="001535B4"/>
    <w:rsid w:val="001879AF"/>
    <w:rsid w:val="001B06EC"/>
    <w:rsid w:val="0020633F"/>
    <w:rsid w:val="00231EF2"/>
    <w:rsid w:val="00244002"/>
    <w:rsid w:val="0028001F"/>
    <w:rsid w:val="002851C4"/>
    <w:rsid w:val="002A4146"/>
    <w:rsid w:val="002D4AD3"/>
    <w:rsid w:val="002E2966"/>
    <w:rsid w:val="00332C98"/>
    <w:rsid w:val="00337EE7"/>
    <w:rsid w:val="00365809"/>
    <w:rsid w:val="003876C0"/>
    <w:rsid w:val="003D4105"/>
    <w:rsid w:val="0041049D"/>
    <w:rsid w:val="00460CB9"/>
    <w:rsid w:val="00473A07"/>
    <w:rsid w:val="004A4DA0"/>
    <w:rsid w:val="004A5704"/>
    <w:rsid w:val="004B0D0D"/>
    <w:rsid w:val="004B345B"/>
    <w:rsid w:val="004E537D"/>
    <w:rsid w:val="004E6528"/>
    <w:rsid w:val="004F2991"/>
    <w:rsid w:val="0050168B"/>
    <w:rsid w:val="0053198F"/>
    <w:rsid w:val="0054344E"/>
    <w:rsid w:val="0054378E"/>
    <w:rsid w:val="00560E7B"/>
    <w:rsid w:val="005622DD"/>
    <w:rsid w:val="005859B7"/>
    <w:rsid w:val="005A1E13"/>
    <w:rsid w:val="005A5938"/>
    <w:rsid w:val="005B08F0"/>
    <w:rsid w:val="005B4217"/>
    <w:rsid w:val="005F25A9"/>
    <w:rsid w:val="00612645"/>
    <w:rsid w:val="00643981"/>
    <w:rsid w:val="00674853"/>
    <w:rsid w:val="0068698C"/>
    <w:rsid w:val="0069053F"/>
    <w:rsid w:val="00697410"/>
    <w:rsid w:val="006A4876"/>
    <w:rsid w:val="006A7667"/>
    <w:rsid w:val="006B2BB8"/>
    <w:rsid w:val="00701C86"/>
    <w:rsid w:val="0073541F"/>
    <w:rsid w:val="00742AAF"/>
    <w:rsid w:val="00745865"/>
    <w:rsid w:val="00771CB7"/>
    <w:rsid w:val="00790210"/>
    <w:rsid w:val="007A694A"/>
    <w:rsid w:val="007D32B6"/>
    <w:rsid w:val="007D554A"/>
    <w:rsid w:val="007D5A8A"/>
    <w:rsid w:val="007E0BB9"/>
    <w:rsid w:val="007F001C"/>
    <w:rsid w:val="008138B5"/>
    <w:rsid w:val="00835D38"/>
    <w:rsid w:val="00861371"/>
    <w:rsid w:val="0086196B"/>
    <w:rsid w:val="00862910"/>
    <w:rsid w:val="0086362F"/>
    <w:rsid w:val="008A3C57"/>
    <w:rsid w:val="008D5CB8"/>
    <w:rsid w:val="008E1AE7"/>
    <w:rsid w:val="008F22ED"/>
    <w:rsid w:val="008F5282"/>
    <w:rsid w:val="00907ABE"/>
    <w:rsid w:val="009163F2"/>
    <w:rsid w:val="00935A10"/>
    <w:rsid w:val="009467A1"/>
    <w:rsid w:val="0097117B"/>
    <w:rsid w:val="00976447"/>
    <w:rsid w:val="009863B1"/>
    <w:rsid w:val="00996E1D"/>
    <w:rsid w:val="009A4336"/>
    <w:rsid w:val="00A0305C"/>
    <w:rsid w:val="00A3374B"/>
    <w:rsid w:val="00A45827"/>
    <w:rsid w:val="00A46B9D"/>
    <w:rsid w:val="00A577C0"/>
    <w:rsid w:val="00A60403"/>
    <w:rsid w:val="00A60449"/>
    <w:rsid w:val="00A70906"/>
    <w:rsid w:val="00A81782"/>
    <w:rsid w:val="00A8629B"/>
    <w:rsid w:val="00A92A98"/>
    <w:rsid w:val="00AA55FE"/>
    <w:rsid w:val="00AA6E8D"/>
    <w:rsid w:val="00AC1692"/>
    <w:rsid w:val="00AC2ACA"/>
    <w:rsid w:val="00AC31A4"/>
    <w:rsid w:val="00AD2CBF"/>
    <w:rsid w:val="00AF2E5C"/>
    <w:rsid w:val="00B27B12"/>
    <w:rsid w:val="00B3219E"/>
    <w:rsid w:val="00B511A9"/>
    <w:rsid w:val="00B516DE"/>
    <w:rsid w:val="00BA142A"/>
    <w:rsid w:val="00BD0BF7"/>
    <w:rsid w:val="00BD54CD"/>
    <w:rsid w:val="00BE263A"/>
    <w:rsid w:val="00BF35AF"/>
    <w:rsid w:val="00C231AC"/>
    <w:rsid w:val="00C26312"/>
    <w:rsid w:val="00C33DBE"/>
    <w:rsid w:val="00C8050F"/>
    <w:rsid w:val="00CA4437"/>
    <w:rsid w:val="00CA780A"/>
    <w:rsid w:val="00CD5FA8"/>
    <w:rsid w:val="00CE14BC"/>
    <w:rsid w:val="00CE5827"/>
    <w:rsid w:val="00CF09FC"/>
    <w:rsid w:val="00CF5535"/>
    <w:rsid w:val="00D01E8F"/>
    <w:rsid w:val="00D05513"/>
    <w:rsid w:val="00D15B4F"/>
    <w:rsid w:val="00D24915"/>
    <w:rsid w:val="00D56752"/>
    <w:rsid w:val="00D86168"/>
    <w:rsid w:val="00DA6A3F"/>
    <w:rsid w:val="00DB403D"/>
    <w:rsid w:val="00DB421D"/>
    <w:rsid w:val="00DC68B2"/>
    <w:rsid w:val="00DD6A9B"/>
    <w:rsid w:val="00DE4DBE"/>
    <w:rsid w:val="00DF3CD8"/>
    <w:rsid w:val="00DF6367"/>
    <w:rsid w:val="00E12F94"/>
    <w:rsid w:val="00E17E31"/>
    <w:rsid w:val="00E220A4"/>
    <w:rsid w:val="00E42C79"/>
    <w:rsid w:val="00E46D93"/>
    <w:rsid w:val="00E62A33"/>
    <w:rsid w:val="00E82621"/>
    <w:rsid w:val="00E8310F"/>
    <w:rsid w:val="00E90D5D"/>
    <w:rsid w:val="00EA3183"/>
    <w:rsid w:val="00EA42B3"/>
    <w:rsid w:val="00EB0EFC"/>
    <w:rsid w:val="00ED6AAF"/>
    <w:rsid w:val="00EF07DA"/>
    <w:rsid w:val="00F02A57"/>
    <w:rsid w:val="00F063FE"/>
    <w:rsid w:val="00F1435C"/>
    <w:rsid w:val="00F20236"/>
    <w:rsid w:val="00F259B9"/>
    <w:rsid w:val="00F36A8C"/>
    <w:rsid w:val="00F46C00"/>
    <w:rsid w:val="00F709A1"/>
    <w:rsid w:val="00F804E5"/>
    <w:rsid w:val="00F901A7"/>
    <w:rsid w:val="00F91BB1"/>
    <w:rsid w:val="00F92359"/>
    <w:rsid w:val="00FC6D35"/>
    <w:rsid w:val="00FE6523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ice.org.uk/guidance/ta1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mpg2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6663F"/>
    <w:rsid w:val="000C7DE3"/>
    <w:rsid w:val="000E5F72"/>
    <w:rsid w:val="001518A5"/>
    <w:rsid w:val="001E57DA"/>
    <w:rsid w:val="0022327C"/>
    <w:rsid w:val="00224ECB"/>
    <w:rsid w:val="0022656D"/>
    <w:rsid w:val="00231EF2"/>
    <w:rsid w:val="0037538B"/>
    <w:rsid w:val="00435F78"/>
    <w:rsid w:val="004B3B4B"/>
    <w:rsid w:val="00583081"/>
    <w:rsid w:val="005C5096"/>
    <w:rsid w:val="00611F4C"/>
    <w:rsid w:val="00662075"/>
    <w:rsid w:val="006668D2"/>
    <w:rsid w:val="006903CA"/>
    <w:rsid w:val="006C29D5"/>
    <w:rsid w:val="00757C33"/>
    <w:rsid w:val="0078091B"/>
    <w:rsid w:val="00814374"/>
    <w:rsid w:val="008D082A"/>
    <w:rsid w:val="00920ADB"/>
    <w:rsid w:val="009C08D5"/>
    <w:rsid w:val="009C475E"/>
    <w:rsid w:val="00A9210F"/>
    <w:rsid w:val="00B56578"/>
    <w:rsid w:val="00B85C87"/>
    <w:rsid w:val="00BE002D"/>
    <w:rsid w:val="00BE5435"/>
    <w:rsid w:val="00BE79E2"/>
    <w:rsid w:val="00BF35AF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17</cp:revision>
  <dcterms:created xsi:type="dcterms:W3CDTF">2025-03-18T13:59:00Z</dcterms:created>
  <dcterms:modified xsi:type="dcterms:W3CDTF">2025-03-18T14:18:00Z</dcterms:modified>
</cp:coreProperties>
</file>