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1C1E3B">
                          <w:rPr>
                            <w:noProof/>
                          </w:rPr>
                          <w:fldChar w:fldCharType="begin"/>
                        </w:r>
                        <w:r w:rsidR="001C1E3B">
                          <w:rPr>
                            <w:noProof/>
                          </w:rPr>
                          <w:instrText xml:space="preserve"> INCLUDEPICTURE  "/var/folders/zq/_hgbfm5j5m929nsq7yq0snt00000gn/T/com.microsoft.Word/WebArchiveCopyPasteTempFiles/001d399a-96a4-4e1f-b905-a21d530b5d29.jpg" \* MERGEFORMATINET </w:instrText>
                        </w:r>
                        <w:r w:rsidR="001C1E3B">
                          <w:rPr>
                            <w:noProof/>
                          </w:rPr>
                          <w:fldChar w:fldCharType="separate"/>
                        </w:r>
                        <w:r w:rsidR="00AA008C">
                          <w:rPr>
                            <w:noProof/>
                          </w:rPr>
                          <w:fldChar w:fldCharType="begin"/>
                        </w:r>
                        <w:r w:rsidR="00AA008C">
                          <w:rPr>
                            <w:noProof/>
                          </w:rPr>
                          <w:instrText xml:space="preserve"> </w:instrText>
                        </w:r>
                        <w:r w:rsidR="00AA008C">
                          <w:rPr>
                            <w:noProof/>
                          </w:rPr>
                          <w:instrText>INCLUDEPICTURE  "/var/folders/zq/_hgbfm5j5m929n</w:instrText>
                        </w:r>
                        <w:r w:rsidR="00AA008C">
                          <w:rPr>
                            <w:noProof/>
                          </w:rPr>
                          <w:instrText>sq7yq0snt00000gn/T/com.microsoft.Word/WebArchiveCopyPasteTempFiles/001d399a-96a4-4e1f-b905-a21d530b5d29.jpg" \* MERGEFORMATINET</w:instrText>
                        </w:r>
                        <w:r w:rsidR="00AA008C">
                          <w:rPr>
                            <w:noProof/>
                          </w:rPr>
                          <w:instrText xml:space="preserve"> </w:instrText>
                        </w:r>
                        <w:r w:rsidR="00AA008C">
                          <w:rPr>
                            <w:noProof/>
                          </w:rPr>
                          <w:fldChar w:fldCharType="separate"/>
                        </w:r>
                        <w:r w:rsidR="00AA008C">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AA008C">
                          <w:rPr>
                            <w:noProof/>
                          </w:rPr>
                          <w:fldChar w:fldCharType="end"/>
                        </w:r>
                        <w:r w:rsidR="001C1E3B">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794EAFFF" w:rsidR="002F42A7" w:rsidRPr="00DE6A3B" w:rsidRDefault="007F2048"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Thur</w:t>
                        </w:r>
                        <w:r w:rsidR="003631F4">
                          <w:rPr>
                            <w:rFonts w:ascii="Tahoma" w:hAnsi="Tahoma" w:cs="Tahoma"/>
                            <w:color w:val="93378A"/>
                            <w:sz w:val="30"/>
                            <w:szCs w:val="30"/>
                          </w:rPr>
                          <w:t>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D91544">
                          <w:rPr>
                            <w:rFonts w:ascii="Tahoma" w:hAnsi="Tahoma" w:cs="Tahoma"/>
                            <w:color w:val="93378A"/>
                            <w:sz w:val="30"/>
                            <w:szCs w:val="30"/>
                          </w:rPr>
                          <w:t>1</w:t>
                        </w:r>
                        <w:r>
                          <w:rPr>
                            <w:rFonts w:ascii="Tahoma" w:hAnsi="Tahoma" w:cs="Tahoma"/>
                            <w:color w:val="93378A"/>
                            <w:sz w:val="30"/>
                            <w:szCs w:val="30"/>
                          </w:rPr>
                          <w:t>8</w:t>
                        </w:r>
                        <w:r w:rsidR="007E0F34" w:rsidRPr="007E0F34">
                          <w:rPr>
                            <w:rFonts w:ascii="Tahoma" w:hAnsi="Tahoma" w:cs="Tahoma"/>
                            <w:color w:val="93378A"/>
                            <w:sz w:val="30"/>
                            <w:szCs w:val="30"/>
                            <w:vertAlign w:val="superscript"/>
                          </w:rPr>
                          <w:t>th</w:t>
                        </w:r>
                        <w:r w:rsidR="007E0F34">
                          <w:rPr>
                            <w:rFonts w:ascii="Tahoma" w:hAnsi="Tahoma" w:cs="Tahoma"/>
                            <w:color w:val="93378A"/>
                            <w:sz w:val="30"/>
                            <w:szCs w:val="30"/>
                          </w:rPr>
                          <w:t xml:space="preserve"> </w:t>
                        </w:r>
                        <w:r w:rsidR="00D859A9">
                          <w:rPr>
                            <w:rFonts w:ascii="Tahoma" w:hAnsi="Tahoma" w:cs="Tahoma"/>
                            <w:color w:val="93378A"/>
                            <w:sz w:val="30"/>
                            <w:szCs w:val="30"/>
                          </w:rPr>
                          <w:t>March</w:t>
                        </w:r>
                        <w:r w:rsidR="002F42A7" w:rsidRPr="00DE6A3B">
                          <w:rPr>
                            <w:rFonts w:ascii="Tahoma" w:hAnsi="Tahoma" w:cs="Tahoma"/>
                            <w:color w:val="93378A"/>
                            <w:sz w:val="30"/>
                            <w:szCs w:val="30"/>
                          </w:rPr>
                          <w:t xml:space="preserve"> 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1C1E3B">
                    <w:rPr>
                      <w:rFonts w:ascii="Helvetica" w:hAnsi="Helvetica"/>
                      <w:noProof/>
                      <w:color w:val="000000"/>
                      <w:sz w:val="18"/>
                      <w:szCs w:val="18"/>
                    </w:rPr>
                    <w:fldChar w:fldCharType="begin"/>
                  </w:r>
                  <w:r w:rsidR="001C1E3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C1E3B">
                    <w:rPr>
                      <w:rFonts w:ascii="Helvetica" w:hAnsi="Helvetica"/>
                      <w:noProof/>
                      <w:color w:val="000000"/>
                      <w:sz w:val="18"/>
                      <w:szCs w:val="18"/>
                    </w:rPr>
                    <w:fldChar w:fldCharType="separate"/>
                  </w:r>
                  <w:r w:rsidR="00AA008C">
                    <w:rPr>
                      <w:rFonts w:ascii="Helvetica" w:hAnsi="Helvetica"/>
                      <w:noProof/>
                      <w:color w:val="000000"/>
                      <w:sz w:val="18"/>
                      <w:szCs w:val="18"/>
                    </w:rPr>
                    <w:fldChar w:fldCharType="begin"/>
                  </w:r>
                  <w:r w:rsidR="00AA008C">
                    <w:rPr>
                      <w:rFonts w:ascii="Helvetica" w:hAnsi="Helvetica"/>
                      <w:noProof/>
                      <w:color w:val="000000"/>
                      <w:sz w:val="18"/>
                      <w:szCs w:val="18"/>
                    </w:rPr>
                    <w:instrText xml:space="preserve"> </w:instrText>
                  </w:r>
                  <w:r w:rsidR="00AA008C">
                    <w:rPr>
                      <w:rFonts w:ascii="Helvetica" w:hAnsi="Helvetica"/>
                      <w:noProof/>
                      <w:color w:val="000000"/>
                      <w:sz w:val="18"/>
                      <w:szCs w:val="18"/>
                    </w:rPr>
                    <w:instrText>INCLUDEPICTURE  "/var/folders/zq/_hgbfm5j5m929nsq7yq0snt00000gn/T/com.microsoft.Word/WebArchiveCopyPasteTempFiles/Newsletter-st</w:instrText>
                  </w:r>
                  <w:r w:rsidR="00AA008C">
                    <w:rPr>
                      <w:rFonts w:ascii="Helvetica" w:hAnsi="Helvetica"/>
                      <w:noProof/>
                      <w:color w:val="000000"/>
                      <w:sz w:val="18"/>
                      <w:szCs w:val="18"/>
                    </w:rPr>
                    <w:instrText>yle-bar.png" \* MERGEFORMATINET</w:instrText>
                  </w:r>
                  <w:r w:rsidR="00AA008C">
                    <w:rPr>
                      <w:rFonts w:ascii="Helvetica" w:hAnsi="Helvetica"/>
                      <w:noProof/>
                      <w:color w:val="000000"/>
                      <w:sz w:val="18"/>
                      <w:szCs w:val="18"/>
                    </w:rPr>
                    <w:instrText xml:space="preserve"> </w:instrText>
                  </w:r>
                  <w:r w:rsidR="00AA008C">
                    <w:rPr>
                      <w:rFonts w:ascii="Helvetica" w:hAnsi="Helvetica"/>
                      <w:noProof/>
                      <w:color w:val="000000"/>
                      <w:sz w:val="18"/>
                      <w:szCs w:val="18"/>
                    </w:rPr>
                    <w:fldChar w:fldCharType="separate"/>
                  </w:r>
                  <w:r w:rsidR="00AA008C">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AA008C">
                    <w:rPr>
                      <w:rFonts w:ascii="Helvetica" w:hAnsi="Helvetica"/>
                      <w:noProof/>
                      <w:color w:val="000000"/>
                      <w:sz w:val="18"/>
                      <w:szCs w:val="18"/>
                    </w:rPr>
                    <w:fldChar w:fldCharType="end"/>
                  </w:r>
                  <w:r w:rsidR="001C1E3B">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AA008C"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6262B70D" w14:textId="77777777" w:rsidR="007F2048" w:rsidRDefault="007F2048" w:rsidP="007F2048">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accounting for C-19 advanced payments; reporting lateral flow device test results; #Pharmacy24 social media event; new Prescription Prepayment Certificate charges poster. </w:t>
                        </w:r>
                      </w:p>
                      <w:p w14:paraId="001561CA" w14:textId="77777777" w:rsidR="007F2048" w:rsidRDefault="007F2048" w:rsidP="007F2048">
                        <w:pPr>
                          <w:rPr>
                            <w:rFonts w:ascii="Times New Roman" w:hAnsi="Times New Roman" w:cs="Times New Roman"/>
                          </w:rPr>
                        </w:pPr>
                        <w:r>
                          <w:rPr>
                            <w:rFonts w:ascii="Tahoma" w:hAnsi="Tahoma" w:cs="Tahoma"/>
                            <w:color w:val="303030"/>
                            <w:sz w:val="21"/>
                            <w:szCs w:val="21"/>
                            <w:shd w:val="clear" w:color="auto" w:fill="FFFFFF"/>
                          </w:rPr>
                          <w:t> </w:t>
                        </w:r>
                      </w:p>
                      <w:p w14:paraId="4F5543B8" w14:textId="77777777" w:rsidR="007F2048" w:rsidRPr="007F2048" w:rsidRDefault="007F2048" w:rsidP="007F2048">
                        <w:pPr>
                          <w:pStyle w:val="Heading3"/>
                          <w:spacing w:before="0" w:after="75" w:line="297" w:lineRule="atLeast"/>
                          <w:rPr>
                            <w:rFonts w:ascii="Tahoma" w:hAnsi="Tahoma" w:cs="Tahoma"/>
                            <w:b/>
                            <w:bCs/>
                            <w:color w:val="4E3487"/>
                            <w:sz w:val="28"/>
                            <w:szCs w:val="28"/>
                          </w:rPr>
                        </w:pPr>
                        <w:r w:rsidRPr="007F2048">
                          <w:rPr>
                            <w:rFonts w:ascii="Tahoma" w:hAnsi="Tahoma" w:cs="Tahoma"/>
                            <w:b/>
                            <w:bCs/>
                            <w:color w:val="4E3487"/>
                            <w:sz w:val="28"/>
                            <w:szCs w:val="28"/>
                          </w:rPr>
                          <w:t>Accounting for C-19 advanced payments</w:t>
                        </w:r>
                      </w:p>
                      <w:p w14:paraId="1513D2AC" w14:textId="77777777" w:rsidR="007F2048" w:rsidRDefault="007F2048" w:rsidP="007F2048">
                        <w:pPr>
                          <w:pStyle w:val="NormalWeb"/>
                          <w:jc w:val="both"/>
                          <w:rPr>
                            <w:rFonts w:ascii="Tahoma" w:hAnsi="Tahoma" w:cs="Tahoma"/>
                            <w:color w:val="303030"/>
                            <w:sz w:val="21"/>
                            <w:szCs w:val="21"/>
                          </w:rPr>
                        </w:pPr>
                        <w:r>
                          <w:rPr>
                            <w:rFonts w:ascii="Tahoma" w:hAnsi="Tahoma" w:cs="Tahoma"/>
                            <w:color w:val="303030"/>
                            <w:sz w:val="21"/>
                            <w:szCs w:val="21"/>
                          </w:rPr>
                          <w:t>From April to July 2020, community pharmacies received a cumulative £370m in incremental advances. These advances were loans to ease cashflow pressures while more formal data gathering and assessment of the costs of dealing with the COVID-19 pandemic were collated. </w:t>
                        </w:r>
                      </w:p>
                      <w:p w14:paraId="3485D605" w14:textId="77777777" w:rsidR="007F2048" w:rsidRDefault="007F2048" w:rsidP="007F2048">
                        <w:pPr>
                          <w:pStyle w:val="NormalWeb"/>
                          <w:jc w:val="both"/>
                          <w:rPr>
                            <w:rFonts w:ascii="Tahoma" w:hAnsi="Tahoma" w:cs="Tahoma"/>
                            <w:color w:val="303030"/>
                            <w:sz w:val="21"/>
                            <w:szCs w:val="21"/>
                          </w:rPr>
                        </w:pPr>
                        <w:r>
                          <w:rPr>
                            <w:rFonts w:ascii="Tahoma" w:hAnsi="Tahoma" w:cs="Tahoma"/>
                            <w:color w:val="303030"/>
                            <w:sz w:val="21"/>
                            <w:szCs w:val="21"/>
                          </w:rPr>
                          <w:t>The advances were not ‘new money’ for the sector and it was clearly stated that the payments would need to be reconciled at a later date subsequent to negotiations between DHSC and PSNC. PSNC is calling for the loans to be written off, based on our analysis of the impact of COVID-19 on the sector, but the negotiations are currently still ongoing and it is not known whether any of the advances will have to be repaid or how this would be done.</w:t>
                        </w:r>
                      </w:p>
                      <w:p w14:paraId="0D7046E0" w14:textId="77777777" w:rsidR="007F2048" w:rsidRDefault="007F2048" w:rsidP="007F2048">
                        <w:pPr>
                          <w:pStyle w:val="NormalWeb"/>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Read about PSNC’s latest calls for the £370m loans to be written off</w:t>
                          </w:r>
                        </w:hyperlink>
                      </w:p>
                      <w:p w14:paraId="275BB6AD" w14:textId="77777777" w:rsidR="007F2048" w:rsidRDefault="007F2048" w:rsidP="007F2048">
                        <w:pPr>
                          <w:pStyle w:val="NormalWeb"/>
                          <w:jc w:val="both"/>
                          <w:rPr>
                            <w:rFonts w:ascii="Tahoma" w:hAnsi="Tahoma" w:cs="Tahoma"/>
                            <w:color w:val="303030"/>
                            <w:sz w:val="21"/>
                            <w:szCs w:val="21"/>
                          </w:rPr>
                        </w:pPr>
                        <w:r>
                          <w:rPr>
                            <w:rFonts w:ascii="Tahoma" w:hAnsi="Tahoma" w:cs="Tahoma"/>
                            <w:color w:val="303030"/>
                            <w:sz w:val="21"/>
                            <w:szCs w:val="21"/>
                          </w:rPr>
                          <w:t>In the meantime, we have received questions from contractors who will need to discuss how to account for these loans at their year-end with their accountants or auditors. PSNC’s professional advisors have stated that they would expect that advances would be kept on a contractor’s balance sheet as creditors and that in general loans are not subject to corporation tax. However, PSNC cannot give formal tax advice and so if you are unsure about how you should account for the advances please seek advice from a professional.</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 about pharmacy funding during the pandemic</w:t>
                          </w:r>
                        </w:hyperlink>
                      </w:p>
                      <w:p w14:paraId="047BC047" w14:textId="77777777" w:rsidR="007F2048" w:rsidRPr="007F2048" w:rsidRDefault="007F2048" w:rsidP="007F2048">
                        <w:pPr>
                          <w:pStyle w:val="Heading3"/>
                          <w:spacing w:before="0" w:after="75" w:line="297" w:lineRule="atLeast"/>
                          <w:rPr>
                            <w:rFonts w:ascii="Tahoma" w:hAnsi="Tahoma" w:cs="Tahoma"/>
                            <w:b/>
                            <w:bCs/>
                            <w:color w:val="4E3487"/>
                            <w:sz w:val="28"/>
                            <w:szCs w:val="28"/>
                          </w:rPr>
                        </w:pPr>
                        <w:r w:rsidRPr="007F2048">
                          <w:rPr>
                            <w:rFonts w:ascii="Tahoma" w:hAnsi="Tahoma" w:cs="Tahoma"/>
                            <w:b/>
                            <w:bCs/>
                            <w:color w:val="4E3487"/>
                            <w:sz w:val="28"/>
                            <w:szCs w:val="28"/>
                          </w:rPr>
                          <w:t>Reminder: statutory requirement to report test results from LFDs</w:t>
                        </w:r>
                      </w:p>
                      <w:p w14:paraId="1A8C0477" w14:textId="77777777" w:rsidR="007F2048" w:rsidRDefault="007F2048" w:rsidP="007F2048">
                        <w:pPr>
                          <w:pStyle w:val="NormalWeb"/>
                          <w:jc w:val="both"/>
                          <w:rPr>
                            <w:rFonts w:ascii="Tahoma" w:hAnsi="Tahoma" w:cs="Tahoma"/>
                            <w:color w:val="303030"/>
                            <w:sz w:val="21"/>
                            <w:szCs w:val="21"/>
                          </w:rPr>
                        </w:pPr>
                        <w:r>
                          <w:rPr>
                            <w:rFonts w:ascii="Tahoma" w:hAnsi="Tahoma" w:cs="Tahoma"/>
                            <w:color w:val="303030"/>
                            <w:sz w:val="21"/>
                            <w:szCs w:val="21"/>
                          </w:rPr>
                          <w:t>Following on from our news story last week advising community pharmacy contractors that they have been invited to place their </w:t>
                        </w:r>
                        <w:hyperlink r:id="rId11" w:history="1">
                          <w:r>
                            <w:rPr>
                              <w:rStyle w:val="Hyperlink"/>
                              <w:rFonts w:ascii="Tahoma" w:hAnsi="Tahoma" w:cs="Tahoma"/>
                              <w:b/>
                              <w:bCs/>
                              <w:color w:val="4E3487"/>
                              <w:sz w:val="21"/>
                              <w:szCs w:val="21"/>
                            </w:rPr>
                            <w:t>second round of orders for lateral flow devices (LFDs)</w:t>
                          </w:r>
                        </w:hyperlink>
                        <w:r>
                          <w:rPr>
                            <w:rFonts w:ascii="Tahoma" w:hAnsi="Tahoma" w:cs="Tahoma"/>
                            <w:color w:val="303030"/>
                            <w:sz w:val="21"/>
                            <w:szCs w:val="21"/>
                          </w:rPr>
                          <w:t>, contractors and pharmacy teams are reminded of the need to report</w:t>
                        </w:r>
                        <w:r>
                          <w:rPr>
                            <w:rStyle w:val="Strong"/>
                            <w:rFonts w:ascii="Tahoma" w:hAnsi="Tahoma" w:cs="Tahoma"/>
                            <w:color w:val="303030"/>
                            <w:sz w:val="21"/>
                            <w:szCs w:val="21"/>
                          </w:rPr>
                          <w:t> all</w:t>
                        </w:r>
                        <w:r>
                          <w:rPr>
                            <w:rFonts w:ascii="Tahoma" w:hAnsi="Tahoma" w:cs="Tahoma"/>
                            <w:color w:val="303030"/>
                            <w:sz w:val="21"/>
                            <w:szCs w:val="21"/>
                          </w:rPr>
                          <w:t> test results (negative, void or positive) online.</w:t>
                        </w:r>
                      </w:p>
                      <w:p w14:paraId="08940434" w14:textId="77777777" w:rsidR="007F2048" w:rsidRDefault="007F2048" w:rsidP="007F2048">
                        <w:pPr>
                          <w:pStyle w:val="NormalWeb"/>
                          <w:rPr>
                            <w:rFonts w:ascii="Tahoma" w:hAnsi="Tahoma" w:cs="Tahoma"/>
                            <w:color w:val="303030"/>
                            <w:sz w:val="21"/>
                            <w:szCs w:val="21"/>
                          </w:rPr>
                        </w:pPr>
                        <w:r>
                          <w:rPr>
                            <w:rFonts w:ascii="Tahoma" w:hAnsi="Tahoma" w:cs="Tahoma"/>
                            <w:color w:val="303030"/>
                            <w:sz w:val="21"/>
                            <w:szCs w:val="21"/>
                          </w:rPr>
                          <w:t>Patient-facing pharmacy staff who choose to use the LFDs (this is a voluntary test) to test for COVID-19 must report their results on the </w:t>
                        </w:r>
                        <w:hyperlink r:id="rId12" w:tgtFrame="_blank" w:history="1">
                          <w:r>
                            <w:rPr>
                              <w:rStyle w:val="Hyperlink"/>
                              <w:rFonts w:ascii="Tahoma" w:hAnsi="Tahoma" w:cs="Tahoma"/>
                              <w:b/>
                              <w:bCs/>
                              <w:color w:val="4E3487"/>
                              <w:sz w:val="21"/>
                              <w:szCs w:val="21"/>
                            </w:rPr>
                            <w:t>GOV.UK website</w:t>
                          </w:r>
                        </w:hyperlink>
                        <w:r>
                          <w:rPr>
                            <w:rFonts w:ascii="Tahoma" w:hAnsi="Tahoma" w:cs="Tahoma"/>
                            <w:color w:val="303030"/>
                            <w:sz w:val="21"/>
                            <w:szCs w:val="21"/>
                          </w:rPr>
                          <w:t> </w:t>
                        </w:r>
                        <w:r>
                          <w:rPr>
                            <w:rStyle w:val="Strong"/>
                            <w:rFonts w:ascii="Tahoma" w:hAnsi="Tahoma" w:cs="Tahoma"/>
                            <w:color w:val="303030"/>
                            <w:sz w:val="21"/>
                            <w:szCs w:val="21"/>
                          </w:rPr>
                          <w:t>each time</w:t>
                        </w:r>
                        <w:r>
                          <w:rPr>
                            <w:rFonts w:ascii="Tahoma" w:hAnsi="Tahoma" w:cs="Tahoma"/>
                            <w:color w:val="303030"/>
                            <w:sz w:val="21"/>
                            <w:szCs w:val="21"/>
                          </w:rPr>
                          <w:t> they do a test as this is a statutory notifiable disease reporting requirement. Reporting is straightforward, with a standard NHS login, which removes the requirement to input demographic data each time a result is reported.</w:t>
                        </w:r>
                        <w:r>
                          <w:rPr>
                            <w:rFonts w:ascii="Tahoma" w:hAnsi="Tahoma" w:cs="Tahoma"/>
                            <w:color w:val="303030"/>
                            <w:sz w:val="21"/>
                            <w:szCs w:val="21"/>
                          </w:rPr>
                          <w:br/>
                        </w:r>
                        <w:r>
                          <w:rPr>
                            <w:rFonts w:ascii="Tahoma" w:hAnsi="Tahoma" w:cs="Tahoma"/>
                            <w:color w:val="303030"/>
                            <w:sz w:val="21"/>
                            <w:szCs w:val="21"/>
                          </w:rPr>
                          <w:lastRenderedPageBreak/>
                          <w:br/>
                        </w:r>
                        <w:hyperlink r:id="rId13" w:tgtFrame="_blank" w:history="1">
                          <w:r>
                            <w:rPr>
                              <w:rStyle w:val="Hyperlink"/>
                              <w:rFonts w:ascii="Tahoma" w:hAnsi="Tahoma" w:cs="Tahoma"/>
                              <w:b/>
                              <w:bCs/>
                              <w:color w:val="4E3487"/>
                              <w:sz w:val="21"/>
                              <w:szCs w:val="21"/>
                            </w:rPr>
                            <w:t>Learn more about LFDs</w:t>
                          </w:r>
                        </w:hyperlink>
                      </w:p>
                      <w:p w14:paraId="3171F07F" w14:textId="77777777" w:rsidR="007F2048" w:rsidRPr="007F2048" w:rsidRDefault="007F2048" w:rsidP="007F2048">
                        <w:pPr>
                          <w:pStyle w:val="Heading3"/>
                          <w:spacing w:before="0" w:after="75" w:line="297" w:lineRule="atLeast"/>
                          <w:rPr>
                            <w:rFonts w:ascii="Tahoma" w:hAnsi="Tahoma" w:cs="Tahoma"/>
                            <w:b/>
                            <w:bCs/>
                            <w:color w:val="4E3487"/>
                            <w:sz w:val="28"/>
                            <w:szCs w:val="28"/>
                          </w:rPr>
                        </w:pPr>
                        <w:r w:rsidRPr="007F2048">
                          <w:rPr>
                            <w:rFonts w:ascii="Tahoma" w:hAnsi="Tahoma" w:cs="Tahoma"/>
                            <w:b/>
                            <w:bCs/>
                            <w:color w:val="4E3487"/>
                            <w:sz w:val="28"/>
                            <w:szCs w:val="28"/>
                          </w:rPr>
                          <w:t>#Pharmacy24 to promote pharmacy teams’ work in the pandemic</w:t>
                        </w:r>
                      </w:p>
                      <w:p w14:paraId="7B23F50D" w14:textId="77777777" w:rsidR="007F2048" w:rsidRDefault="007F2048" w:rsidP="007F2048">
                        <w:pPr>
                          <w:pStyle w:val="NormalWeb"/>
                          <w:jc w:val="both"/>
                          <w:rPr>
                            <w:rFonts w:ascii="Tahoma" w:hAnsi="Tahoma" w:cs="Tahoma"/>
                            <w:color w:val="303030"/>
                            <w:sz w:val="21"/>
                            <w:szCs w:val="21"/>
                          </w:rPr>
                        </w:pPr>
                        <w:r>
                          <w:rPr>
                            <w:rFonts w:ascii="Tahoma" w:hAnsi="Tahoma" w:cs="Tahoma"/>
                            <w:color w:val="303030"/>
                            <w:sz w:val="21"/>
                            <w:szCs w:val="21"/>
                          </w:rPr>
                          <w:t>An annual social media event celebrating the work of pharmacy will this year be focusing on the sector’s contribution during the COVID-19 pandemic and on promoting diversity within the sector.</w:t>
                        </w:r>
                      </w:p>
                      <w:p w14:paraId="2D7CE76A" w14:textId="77777777" w:rsidR="007F2048" w:rsidRDefault="007F2048" w:rsidP="007F2048">
                        <w:pPr>
                          <w:pStyle w:val="NormalWeb"/>
                          <w:jc w:val="both"/>
                          <w:rPr>
                            <w:rFonts w:ascii="Tahoma" w:hAnsi="Tahoma" w:cs="Tahoma"/>
                            <w:color w:val="303030"/>
                            <w:sz w:val="21"/>
                            <w:szCs w:val="21"/>
                          </w:rPr>
                        </w:pPr>
                        <w:r>
                          <w:rPr>
                            <w:rFonts w:ascii="Tahoma" w:hAnsi="Tahoma" w:cs="Tahoma"/>
                            <w:color w:val="303030"/>
                            <w:sz w:val="21"/>
                            <w:szCs w:val="21"/>
                          </w:rPr>
                          <w:t>Scheduled for </w:t>
                        </w:r>
                        <w:r>
                          <w:rPr>
                            <w:rStyle w:val="Strong"/>
                            <w:rFonts w:ascii="Tahoma" w:hAnsi="Tahoma" w:cs="Tahoma"/>
                            <w:color w:val="303030"/>
                            <w:sz w:val="21"/>
                            <w:szCs w:val="21"/>
                          </w:rPr>
                          <w:t>Wednesday 7th April 2021</w:t>
                        </w:r>
                        <w:r>
                          <w:rPr>
                            <w:rFonts w:ascii="Tahoma" w:hAnsi="Tahoma" w:cs="Tahoma"/>
                            <w:color w:val="303030"/>
                            <w:sz w:val="21"/>
                            <w:szCs w:val="21"/>
                          </w:rPr>
                          <w:t>, #Pharmacy24 aims to capitalise on the reach and influence of social media to showcase the hard work pharmacy teams are doing to keep the public safe during the pandemic. During the 24-hour period, pharmacists, pharmacy technicians, and other pharmacy staff are invited to promote pharmacy by sharing their work successes across all social media platforms with the hashtag </w:t>
                        </w:r>
                        <w:hyperlink r:id="rId14" w:history="1">
                          <w:r>
                            <w:rPr>
                              <w:rStyle w:val="Hyperlink"/>
                              <w:rFonts w:ascii="Tahoma" w:hAnsi="Tahoma" w:cs="Tahoma"/>
                              <w:b/>
                              <w:bCs/>
                              <w:color w:val="4E3487"/>
                              <w:sz w:val="21"/>
                              <w:szCs w:val="21"/>
                            </w:rPr>
                            <w:t>#Pharmacy24</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Find out how your team can get involved in this event</w:t>
                          </w:r>
                        </w:hyperlink>
                      </w:p>
                      <w:p w14:paraId="2BC6925E" w14:textId="77777777" w:rsidR="007F2048" w:rsidRPr="007F2048" w:rsidRDefault="007F2048" w:rsidP="007F2048">
                        <w:pPr>
                          <w:pStyle w:val="Heading3"/>
                          <w:spacing w:before="0" w:after="75" w:line="297" w:lineRule="atLeast"/>
                          <w:rPr>
                            <w:rFonts w:ascii="Tahoma" w:hAnsi="Tahoma" w:cs="Tahoma"/>
                            <w:b/>
                            <w:bCs/>
                            <w:color w:val="4E3487"/>
                            <w:sz w:val="28"/>
                            <w:szCs w:val="28"/>
                          </w:rPr>
                        </w:pPr>
                        <w:r w:rsidRPr="007F2048">
                          <w:rPr>
                            <w:rFonts w:ascii="Tahoma" w:hAnsi="Tahoma" w:cs="Tahoma"/>
                            <w:b/>
                            <w:bCs/>
                            <w:color w:val="4E3487"/>
                            <w:sz w:val="28"/>
                            <w:szCs w:val="28"/>
                          </w:rPr>
                          <w:t>New Prescription Prepayment Certificate (PPC) charges poster</w:t>
                        </w:r>
                      </w:p>
                      <w:p w14:paraId="7BE9F736" w14:textId="77777777" w:rsidR="007F2048" w:rsidRDefault="007F2048" w:rsidP="007F2048">
                        <w:pPr>
                          <w:pStyle w:val="NormalWeb"/>
                          <w:jc w:val="both"/>
                          <w:rPr>
                            <w:rFonts w:ascii="Tahoma" w:hAnsi="Tahoma" w:cs="Tahoma"/>
                            <w:color w:val="303030"/>
                            <w:sz w:val="21"/>
                            <w:szCs w:val="21"/>
                          </w:rPr>
                        </w:pPr>
                        <w:r>
                          <w:rPr>
                            <w:rFonts w:ascii="Tahoma" w:hAnsi="Tahoma" w:cs="Tahoma"/>
                            <w:color w:val="303030"/>
                            <w:sz w:val="21"/>
                            <w:szCs w:val="21"/>
                          </w:rPr>
                          <w:t>Following the </w:t>
                        </w:r>
                        <w:hyperlink r:id="rId16" w:history="1">
                          <w:r>
                            <w:rPr>
                              <w:rStyle w:val="Hyperlink"/>
                              <w:rFonts w:ascii="Tahoma" w:hAnsi="Tahoma" w:cs="Tahoma"/>
                              <w:b/>
                              <w:bCs/>
                              <w:color w:val="4E3487"/>
                              <w:sz w:val="21"/>
                              <w:szCs w:val="21"/>
                            </w:rPr>
                            <w:t>recent announcement</w:t>
                          </w:r>
                        </w:hyperlink>
                        <w:r>
                          <w:rPr>
                            <w:rFonts w:ascii="Tahoma" w:hAnsi="Tahoma" w:cs="Tahoma"/>
                            <w:color w:val="303030"/>
                            <w:sz w:val="21"/>
                            <w:szCs w:val="21"/>
                          </w:rPr>
                          <w:t> of the rise in NHS Prescription Prepayment Certificate (PPC) prices from 1st April 2021, PSNC has designed a poster explaining the savings that a PPC could achieve for patients that regularly pay for their prescriptions. PSNC has produced two versions (colour and black and white) of the 2021/22 PPC poster as downloadable PDFs that can be printed and displayed in community pharmacies from </w:t>
                        </w:r>
                        <w:r>
                          <w:rPr>
                            <w:rStyle w:val="Strong"/>
                            <w:rFonts w:ascii="Tahoma" w:hAnsi="Tahoma" w:cs="Tahoma"/>
                            <w:color w:val="303030"/>
                            <w:sz w:val="21"/>
                            <w:szCs w:val="21"/>
                          </w:rPr>
                          <w:t>1st April 2021</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7" w:tgtFrame="_blank" w:history="1">
                          <w:r>
                            <w:rPr>
                              <w:rStyle w:val="Hyperlink"/>
                              <w:rFonts w:ascii="Tahoma" w:hAnsi="Tahoma" w:cs="Tahoma"/>
                              <w:b/>
                              <w:bCs/>
                              <w:color w:val="4E3487"/>
                              <w:sz w:val="21"/>
                              <w:szCs w:val="21"/>
                            </w:rPr>
                            <w:t>Download the new PPC posters</w:t>
                          </w:r>
                        </w:hyperlink>
                      </w:p>
                      <w:p w14:paraId="5C8C968D" w14:textId="3E44117D"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8"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7"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AA008C"/>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3"/>
  </w:num>
  <w:num w:numId="4">
    <w:abstractNumId w:val="12"/>
  </w:num>
  <w:num w:numId="5">
    <w:abstractNumId w:val="3"/>
  </w:num>
  <w:num w:numId="6">
    <w:abstractNumId w:val="10"/>
  </w:num>
  <w:num w:numId="7">
    <w:abstractNumId w:val="9"/>
  </w:num>
  <w:num w:numId="8">
    <w:abstractNumId w:val="6"/>
  </w:num>
  <w:num w:numId="9">
    <w:abstractNumId w:val="11"/>
  </w:num>
  <w:num w:numId="10">
    <w:abstractNumId w:val="16"/>
  </w:num>
  <w:num w:numId="11">
    <w:abstractNumId w:val="7"/>
  </w:num>
  <w:num w:numId="12">
    <w:abstractNumId w:val="21"/>
  </w:num>
  <w:num w:numId="13">
    <w:abstractNumId w:val="4"/>
  </w:num>
  <w:num w:numId="14">
    <w:abstractNumId w:val="22"/>
  </w:num>
  <w:num w:numId="15">
    <w:abstractNumId w:val="24"/>
  </w:num>
  <w:num w:numId="16">
    <w:abstractNumId w:val="18"/>
  </w:num>
  <w:num w:numId="17">
    <w:abstractNumId w:val="19"/>
  </w:num>
  <w:num w:numId="18">
    <w:abstractNumId w:val="1"/>
  </w:num>
  <w:num w:numId="19">
    <w:abstractNumId w:val="8"/>
  </w:num>
  <w:num w:numId="20">
    <w:abstractNumId w:val="25"/>
  </w:num>
  <w:num w:numId="21">
    <w:abstractNumId w:val="15"/>
  </w:num>
  <w:num w:numId="22">
    <w:abstractNumId w:val="2"/>
  </w:num>
  <w:num w:numId="23">
    <w:abstractNumId w:val="13"/>
  </w:num>
  <w:num w:numId="24">
    <w:abstractNumId w:val="14"/>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16432"/>
    <w:rsid w:val="0002246A"/>
    <w:rsid w:val="0003340D"/>
    <w:rsid w:val="00034093"/>
    <w:rsid w:val="000428D4"/>
    <w:rsid w:val="00070E58"/>
    <w:rsid w:val="000A549E"/>
    <w:rsid w:val="000C6BBB"/>
    <w:rsid w:val="000D4C3B"/>
    <w:rsid w:val="000E1442"/>
    <w:rsid w:val="000F4332"/>
    <w:rsid w:val="00101E55"/>
    <w:rsid w:val="001139B7"/>
    <w:rsid w:val="00114C5E"/>
    <w:rsid w:val="0012103F"/>
    <w:rsid w:val="001243C6"/>
    <w:rsid w:val="00152E8A"/>
    <w:rsid w:val="00156F50"/>
    <w:rsid w:val="001658F9"/>
    <w:rsid w:val="00166151"/>
    <w:rsid w:val="00171CF5"/>
    <w:rsid w:val="00172D0B"/>
    <w:rsid w:val="00173D74"/>
    <w:rsid w:val="00182ED4"/>
    <w:rsid w:val="0018526F"/>
    <w:rsid w:val="001B17CE"/>
    <w:rsid w:val="001B462C"/>
    <w:rsid w:val="001C1E3B"/>
    <w:rsid w:val="001E6FF6"/>
    <w:rsid w:val="001F5CFD"/>
    <w:rsid w:val="0022113A"/>
    <w:rsid w:val="002522E4"/>
    <w:rsid w:val="002902D8"/>
    <w:rsid w:val="002907F7"/>
    <w:rsid w:val="00296B2E"/>
    <w:rsid w:val="0029711A"/>
    <w:rsid w:val="002A3E79"/>
    <w:rsid w:val="002C520A"/>
    <w:rsid w:val="002E0191"/>
    <w:rsid w:val="002F42A7"/>
    <w:rsid w:val="00324705"/>
    <w:rsid w:val="0033373B"/>
    <w:rsid w:val="00352629"/>
    <w:rsid w:val="003631F4"/>
    <w:rsid w:val="00373C2A"/>
    <w:rsid w:val="003F4C63"/>
    <w:rsid w:val="00406FBA"/>
    <w:rsid w:val="00432DF1"/>
    <w:rsid w:val="004638BB"/>
    <w:rsid w:val="00477B5C"/>
    <w:rsid w:val="004C32C5"/>
    <w:rsid w:val="005002E6"/>
    <w:rsid w:val="00515F7F"/>
    <w:rsid w:val="00520043"/>
    <w:rsid w:val="005311C9"/>
    <w:rsid w:val="00536ECF"/>
    <w:rsid w:val="0054036E"/>
    <w:rsid w:val="005468E9"/>
    <w:rsid w:val="00573E2E"/>
    <w:rsid w:val="0058326B"/>
    <w:rsid w:val="005B5858"/>
    <w:rsid w:val="005E1262"/>
    <w:rsid w:val="005E5B60"/>
    <w:rsid w:val="00616D0F"/>
    <w:rsid w:val="00627E1A"/>
    <w:rsid w:val="00634939"/>
    <w:rsid w:val="00645E44"/>
    <w:rsid w:val="00655715"/>
    <w:rsid w:val="00664481"/>
    <w:rsid w:val="0067082C"/>
    <w:rsid w:val="00674355"/>
    <w:rsid w:val="00683BF1"/>
    <w:rsid w:val="00687CA4"/>
    <w:rsid w:val="006A6286"/>
    <w:rsid w:val="006D16C6"/>
    <w:rsid w:val="006D417B"/>
    <w:rsid w:val="006E4214"/>
    <w:rsid w:val="006F1130"/>
    <w:rsid w:val="007208EE"/>
    <w:rsid w:val="007638C8"/>
    <w:rsid w:val="007A69E3"/>
    <w:rsid w:val="007B5953"/>
    <w:rsid w:val="007D1A7E"/>
    <w:rsid w:val="007D203B"/>
    <w:rsid w:val="007E0F34"/>
    <w:rsid w:val="007F18C1"/>
    <w:rsid w:val="007F2048"/>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2FDB"/>
    <w:rsid w:val="00A47173"/>
    <w:rsid w:val="00A53001"/>
    <w:rsid w:val="00A61F99"/>
    <w:rsid w:val="00A663D7"/>
    <w:rsid w:val="00A84017"/>
    <w:rsid w:val="00A92151"/>
    <w:rsid w:val="00AA008C"/>
    <w:rsid w:val="00AA6837"/>
    <w:rsid w:val="00AD5306"/>
    <w:rsid w:val="00AD589B"/>
    <w:rsid w:val="00AF6629"/>
    <w:rsid w:val="00B02B33"/>
    <w:rsid w:val="00B41A84"/>
    <w:rsid w:val="00B41FD4"/>
    <w:rsid w:val="00B6067E"/>
    <w:rsid w:val="00B905F3"/>
    <w:rsid w:val="00B92AAD"/>
    <w:rsid w:val="00BC6E6B"/>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91544"/>
    <w:rsid w:val="00DA4AE5"/>
    <w:rsid w:val="00DD6002"/>
    <w:rsid w:val="00DE7311"/>
    <w:rsid w:val="00DF35E2"/>
    <w:rsid w:val="00E03F84"/>
    <w:rsid w:val="00E609D4"/>
    <w:rsid w:val="00E67361"/>
    <w:rsid w:val="00E700E7"/>
    <w:rsid w:val="00EF6768"/>
    <w:rsid w:val="00F01C6F"/>
    <w:rsid w:val="00F03D21"/>
    <w:rsid w:val="00F2724A"/>
    <w:rsid w:val="00F735AC"/>
    <w:rsid w:val="00F75E23"/>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27108779">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31883290">
      <w:bodyDiv w:val="1"/>
      <w:marLeft w:val="0"/>
      <w:marRight w:val="0"/>
      <w:marTop w:val="0"/>
      <w:marBottom w:val="0"/>
      <w:divBdr>
        <w:top w:val="none" w:sz="0" w:space="0" w:color="auto"/>
        <w:left w:val="none" w:sz="0" w:space="0" w:color="auto"/>
        <w:bottom w:val="none" w:sz="0" w:space="0" w:color="auto"/>
        <w:right w:val="none" w:sz="0" w:space="0" w:color="auto"/>
      </w:divBdr>
    </w:div>
    <w:div w:id="1047799201">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1795817">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31769556">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87a3a48269&amp;e=12757307a1" TargetMode="External"/><Relationship Id="rId18" Type="http://schemas.openxmlformats.org/officeDocument/2006/relationships/hyperlink" Target="https://psnc.us7.list-manage.com/track/click?u=86d41ab7fa4c7c2c5d7210782&amp;id=b671e78d7a&amp;e=d3dc5e7fbd"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psnc.us7.list-manage.com/track/click?u=86d41ab7fa4c7c2c5d7210782&amp;id=9f085df2d1&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30128e3b82&amp;e=12757307a1" TargetMode="External"/><Relationship Id="rId17" Type="http://schemas.openxmlformats.org/officeDocument/2006/relationships/hyperlink" Target="https://psnc.us7.list-manage.com/track/click?u=86d41ab7fa4c7c2c5d7210782&amp;id=a58e571723&amp;e=12757307a1" TargetMode="External"/><Relationship Id="rId25" Type="http://schemas.openxmlformats.org/officeDocument/2006/relationships/hyperlink" Target="https://psnc.us7.list-manage.com/track/click?u=86d41ab7fa4c7c2c5d7210782&amp;id=b774bcfe37&amp;e=d3dc5e7fbd"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f08dead091&amp;e=12757307a1"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944c884b6f&amp;e=12757307a1" TargetMode="External"/><Relationship Id="rId24"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psnc.us7.list-manage.com/track/click?u=86d41ab7fa4c7c2c5d7210782&amp;id=1c21a34b42&amp;e=12757307a1" TargetMode="External"/><Relationship Id="rId23" Type="http://schemas.openxmlformats.org/officeDocument/2006/relationships/hyperlink" Target="https://psnc.us7.list-manage.com/track/click?u=86d41ab7fa4c7c2c5d7210782&amp;id=3f47eea43b&amp;e=d3dc5e7fbd" TargetMode="External"/><Relationship Id="rId28" Type="http://schemas.openxmlformats.org/officeDocument/2006/relationships/fontTable" Target="fontTable.xml"/><Relationship Id="rId10" Type="http://schemas.openxmlformats.org/officeDocument/2006/relationships/hyperlink" Target="https://psnc.us7.list-manage.com/track/click?u=86d41ab7fa4c7c2c5d7210782&amp;id=ed401033dd&amp;e=12757307a1" TargetMode="External"/><Relationship Id="rId19" Type="http://schemas.openxmlformats.org/officeDocument/2006/relationships/hyperlink" Target="https://psnc.us7.list-manage.com/track/click?u=86d41ab7fa4c7c2c5d7210782&amp;id=0719e3152f&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240a69328b&amp;e=12757307a1" TargetMode="External"/><Relationship Id="rId14" Type="http://schemas.openxmlformats.org/officeDocument/2006/relationships/hyperlink" Target="https://psnc.us7.list-manage.com/track/click?u=86d41ab7fa4c7c2c5d7210782&amp;id=aa2fd6e44b&amp;e=12757307a1" TargetMode="External"/><Relationship Id="rId22" Type="http://schemas.openxmlformats.org/officeDocument/2006/relationships/image" Target="media/image4.png"/><Relationship Id="rId27"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3060</Words>
  <Characters>18360</Characters>
  <Application>Microsoft Office Word</Application>
  <DocSecurity>2</DocSecurity>
  <Lines>612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3</cp:revision>
  <dcterms:created xsi:type="dcterms:W3CDTF">2021-03-19T17:48:00Z</dcterms:created>
  <dcterms:modified xsi:type="dcterms:W3CDTF">2021-03-19T17:50:00Z</dcterms:modified>
</cp:coreProperties>
</file>