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F81B97">
                          <w:rPr>
                            <w:noProof/>
                          </w:rPr>
                          <w:fldChar w:fldCharType="begin"/>
                        </w:r>
                        <w:r w:rsidR="00F81B97">
                          <w:rPr>
                            <w:noProof/>
                          </w:rPr>
                          <w:instrText xml:space="preserve"> INCLUDEPICTURE  "/var/folders/zq/_hgbfm5j5m929nsq7yq0snt00000gn/T/com.microsoft.Word/WebArchiveCopyPasteTempFiles/001d399a-96a4-4e1f-b905-a21d530b5d29.jpg" \* MERGEFORMATINET </w:instrText>
                        </w:r>
                        <w:r w:rsidR="00F81B97">
                          <w:rPr>
                            <w:noProof/>
                          </w:rPr>
                          <w:fldChar w:fldCharType="separate"/>
                        </w:r>
                        <w:r w:rsidR="00B33D71">
                          <w:rPr>
                            <w:noProof/>
                          </w:rPr>
                          <w:fldChar w:fldCharType="begin"/>
                        </w:r>
                        <w:r w:rsidR="00B33D71">
                          <w:rPr>
                            <w:noProof/>
                          </w:rPr>
                          <w:instrText xml:space="preserve"> INCLUDEPICTURE  "/var/folders/zq/_hgbfm5j5m929nsq7yq0snt00000gn/T/com.microsoft.Word/WebArchiveCopyPasteTempFiles/001d399a-96a4-4e1f-b905-a21d530b5d29.jpg" \* MERGEFORMATINET </w:instrText>
                        </w:r>
                        <w:r w:rsidR="00B33D71">
                          <w:rPr>
                            <w:noProof/>
                          </w:rPr>
                          <w:fldChar w:fldCharType="separate"/>
                        </w:r>
                        <w:r w:rsidR="005A2B37">
                          <w:rPr>
                            <w:noProof/>
                          </w:rPr>
                          <w:fldChar w:fldCharType="begin"/>
                        </w:r>
                        <w:r w:rsidR="005A2B37">
                          <w:rPr>
                            <w:noProof/>
                          </w:rPr>
                          <w:instrText xml:space="preserve"> </w:instrText>
                        </w:r>
                        <w:r w:rsidR="005A2B37">
                          <w:rPr>
                            <w:noProof/>
                          </w:rPr>
                          <w:instrText>INCLUDEPICTURE  "/var/folders/zq/_hgbfm5j5m929nsq7yq0snt00000gn/T/com.microsoft.Word/WebArchiveCopyPasteTempFiles/001d399a-96a4</w:instrText>
                        </w:r>
                        <w:r w:rsidR="005A2B37">
                          <w:rPr>
                            <w:noProof/>
                          </w:rPr>
                          <w:instrText>-4e1f-b905-a21d530b5d29.jpg" \* MERGEFORMATINET</w:instrText>
                        </w:r>
                        <w:r w:rsidR="005A2B37">
                          <w:rPr>
                            <w:noProof/>
                          </w:rPr>
                          <w:instrText xml:space="preserve"> </w:instrText>
                        </w:r>
                        <w:r w:rsidR="005A2B37">
                          <w:rPr>
                            <w:noProof/>
                          </w:rPr>
                          <w:fldChar w:fldCharType="separate"/>
                        </w:r>
                        <w:r w:rsidR="005A2B37">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8pt;height:70pt;mso-width-percent:0;mso-height-percent:0;mso-width-percent:0;mso-height-percent:0">
                              <v:imagedata r:id="rId5" r:href="rId6"/>
                            </v:shape>
                          </w:pict>
                        </w:r>
                        <w:r w:rsidR="005A2B37">
                          <w:rPr>
                            <w:noProof/>
                          </w:rPr>
                          <w:fldChar w:fldCharType="end"/>
                        </w:r>
                        <w:r w:rsidR="00B33D71">
                          <w:rPr>
                            <w:noProof/>
                          </w:rPr>
                          <w:fldChar w:fldCharType="end"/>
                        </w:r>
                        <w:r w:rsidR="00F81B97">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613C6057" w:rsidR="002F42A7" w:rsidRPr="00DE6A3B" w:rsidRDefault="007E43C3"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Wednes</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Pr>
                            <w:rFonts w:ascii="Tahoma" w:hAnsi="Tahoma" w:cs="Tahoma"/>
                            <w:color w:val="93378A"/>
                            <w:sz w:val="30"/>
                            <w:szCs w:val="30"/>
                          </w:rPr>
                          <w:t>21</w:t>
                        </w:r>
                        <w:r w:rsidRPr="007E43C3">
                          <w:rPr>
                            <w:rFonts w:ascii="Tahoma" w:hAnsi="Tahoma" w:cs="Tahoma"/>
                            <w:color w:val="93378A"/>
                            <w:sz w:val="30"/>
                            <w:szCs w:val="30"/>
                            <w:vertAlign w:val="superscript"/>
                          </w:rPr>
                          <w:t>st</w:t>
                        </w:r>
                        <w:r w:rsidR="002F42A7" w:rsidRPr="00DE6A3B">
                          <w:rPr>
                            <w:rFonts w:ascii="Tahoma" w:hAnsi="Tahoma" w:cs="Tahoma"/>
                            <w:color w:val="93378A"/>
                            <w:sz w:val="30"/>
                            <w:szCs w:val="30"/>
                          </w:rPr>
                          <w:t xml:space="preserve"> </w:t>
                        </w:r>
                        <w:r w:rsidR="006971BB">
                          <w:rPr>
                            <w:rFonts w:ascii="Tahoma" w:hAnsi="Tahoma" w:cs="Tahoma"/>
                            <w:color w:val="93378A"/>
                            <w:sz w:val="30"/>
                            <w:szCs w:val="30"/>
                          </w:rPr>
                          <w:t xml:space="preserve">April </w:t>
                        </w:r>
                        <w:r w:rsidR="002F42A7" w:rsidRPr="00DE6A3B">
                          <w:rPr>
                            <w:rFonts w:ascii="Tahoma" w:hAnsi="Tahoma" w:cs="Tahoma"/>
                            <w:color w:val="93378A"/>
                            <w:sz w:val="30"/>
                            <w:szCs w:val="30"/>
                          </w:rPr>
                          <w:t>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F81B97">
                    <w:rPr>
                      <w:rFonts w:ascii="Helvetica" w:hAnsi="Helvetica"/>
                      <w:noProof/>
                      <w:color w:val="000000"/>
                      <w:sz w:val="18"/>
                      <w:szCs w:val="18"/>
                    </w:rPr>
                    <w:fldChar w:fldCharType="begin"/>
                  </w:r>
                  <w:r w:rsidR="00F81B9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81B97">
                    <w:rPr>
                      <w:rFonts w:ascii="Helvetica" w:hAnsi="Helvetica"/>
                      <w:noProof/>
                      <w:color w:val="000000"/>
                      <w:sz w:val="18"/>
                      <w:szCs w:val="18"/>
                    </w:rPr>
                    <w:fldChar w:fldCharType="separate"/>
                  </w:r>
                  <w:r w:rsidR="00B33D71">
                    <w:rPr>
                      <w:rFonts w:ascii="Helvetica" w:hAnsi="Helvetica"/>
                      <w:noProof/>
                      <w:color w:val="000000"/>
                      <w:sz w:val="18"/>
                      <w:szCs w:val="18"/>
                    </w:rPr>
                    <w:fldChar w:fldCharType="begin"/>
                  </w:r>
                  <w:r w:rsidR="00B33D7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33D71">
                    <w:rPr>
                      <w:rFonts w:ascii="Helvetica" w:hAnsi="Helvetica"/>
                      <w:noProof/>
                      <w:color w:val="000000"/>
                      <w:sz w:val="18"/>
                      <w:szCs w:val="18"/>
                    </w:rPr>
                    <w:fldChar w:fldCharType="separate"/>
                  </w:r>
                  <w:r w:rsidR="005A2B37">
                    <w:rPr>
                      <w:rFonts w:ascii="Helvetica" w:hAnsi="Helvetica"/>
                      <w:noProof/>
                      <w:color w:val="000000"/>
                      <w:sz w:val="18"/>
                      <w:szCs w:val="18"/>
                    </w:rPr>
                    <w:fldChar w:fldCharType="begin"/>
                  </w:r>
                  <w:r w:rsidR="005A2B37">
                    <w:rPr>
                      <w:rFonts w:ascii="Helvetica" w:hAnsi="Helvetica"/>
                      <w:noProof/>
                      <w:color w:val="000000"/>
                      <w:sz w:val="18"/>
                      <w:szCs w:val="18"/>
                    </w:rPr>
                    <w:instrText xml:space="preserve"> </w:instrText>
                  </w:r>
                  <w:r w:rsidR="005A2B37">
                    <w:rPr>
                      <w:rFonts w:ascii="Helvetica" w:hAnsi="Helvetica"/>
                      <w:noProof/>
                      <w:color w:val="000000"/>
                      <w:sz w:val="18"/>
                      <w:szCs w:val="18"/>
                    </w:rPr>
                    <w:instrText>INCLUDEPICTURE  "/var/folders/zq/_hgbfm5j5m929nsq7yq0snt00000gn/T/com.microsoft.Word/WebArchive</w:instrText>
                  </w:r>
                  <w:r w:rsidR="005A2B37">
                    <w:rPr>
                      <w:rFonts w:ascii="Helvetica" w:hAnsi="Helvetica"/>
                      <w:noProof/>
                      <w:color w:val="000000"/>
                      <w:sz w:val="18"/>
                      <w:szCs w:val="18"/>
                    </w:rPr>
                    <w:instrText>CopyPasteTempFiles/Newsletter-style-bar.png" \* MERGEFORMATINET</w:instrText>
                  </w:r>
                  <w:r w:rsidR="005A2B37">
                    <w:rPr>
                      <w:rFonts w:ascii="Helvetica" w:hAnsi="Helvetica"/>
                      <w:noProof/>
                      <w:color w:val="000000"/>
                      <w:sz w:val="18"/>
                      <w:szCs w:val="18"/>
                    </w:rPr>
                    <w:instrText xml:space="preserve"> </w:instrText>
                  </w:r>
                  <w:r w:rsidR="005A2B37">
                    <w:rPr>
                      <w:rFonts w:ascii="Helvetica" w:hAnsi="Helvetica"/>
                      <w:noProof/>
                      <w:color w:val="000000"/>
                      <w:sz w:val="18"/>
                      <w:szCs w:val="18"/>
                    </w:rPr>
                    <w:fldChar w:fldCharType="separate"/>
                  </w:r>
                  <w:r w:rsidR="005A2B37">
                    <w:rPr>
                      <w:rFonts w:ascii="Helvetica" w:hAnsi="Helvetica"/>
                      <w:noProof/>
                      <w:color w:val="000000"/>
                      <w:sz w:val="18"/>
                      <w:szCs w:val="18"/>
                    </w:rPr>
                    <w:pict w14:anchorId="678A794D">
                      <v:shape id="_x0000_i1026" type="#_x0000_t75" alt="" style="width:600pt;height:22pt;mso-width-percent:0;mso-height-percent:0;mso-width-percent:0;mso-height-percent:0">
                        <v:imagedata r:id="rId7" r:href="rId8"/>
                      </v:shape>
                    </w:pict>
                  </w:r>
                  <w:r w:rsidR="005A2B37">
                    <w:rPr>
                      <w:rFonts w:ascii="Helvetica" w:hAnsi="Helvetica"/>
                      <w:noProof/>
                      <w:color w:val="000000"/>
                      <w:sz w:val="18"/>
                      <w:szCs w:val="18"/>
                    </w:rPr>
                    <w:fldChar w:fldCharType="end"/>
                  </w:r>
                  <w:r w:rsidR="00B33D71">
                    <w:rPr>
                      <w:rFonts w:ascii="Helvetica" w:hAnsi="Helvetica"/>
                      <w:noProof/>
                      <w:color w:val="000000"/>
                      <w:sz w:val="18"/>
                      <w:szCs w:val="18"/>
                    </w:rPr>
                    <w:fldChar w:fldCharType="end"/>
                  </w:r>
                  <w:r w:rsidR="00F81B97">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51"/>
                    <w:gridCol w:w="8918"/>
                    <w:gridCol w:w="51"/>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5A2B37" w:rsidP="002907F7">
                        <w:pPr>
                          <w:rPr>
                            <w:rFonts w:ascii="Times New Roman" w:hAnsi="Times New Roman" w:cs="Times New Roman"/>
                          </w:rPr>
                        </w:pPr>
                        <w:r>
                          <w:rPr>
                            <w:noProof/>
                          </w:rPr>
                          <w:pict w14:anchorId="2BE0C096">
                            <v:rect id="_x0000_i1025" alt="" style="width:336pt;height:.05pt;mso-width-percent:0;mso-height-percent:0;mso-width-percent:0;mso-height-percent:0" o:hrpct="718" o:hrstd="t" o:hrnoshade="t" o:hr="t" fillcolor="#303030" stroked="f"/>
                          </w:pict>
                        </w:r>
                      </w:p>
                      <w:p w14:paraId="43B0D4DC" w14:textId="77777777" w:rsidR="00674355" w:rsidRDefault="00674355" w:rsidP="002907F7">
                        <w:pPr>
                          <w:pStyle w:val="Heading2"/>
                          <w:spacing w:before="0" w:beforeAutospacing="0" w:after="75" w:afterAutospacing="0" w:line="330" w:lineRule="atLeast"/>
                          <w:rPr>
                            <w:rFonts w:ascii="Tahoma" w:hAnsi="Tahoma" w:cs="Tahoma"/>
                            <w:color w:val="4E3487"/>
                            <w:sz w:val="30"/>
                            <w:szCs w:val="30"/>
                          </w:rPr>
                        </w:pPr>
                      </w:p>
                      <w:tbl>
                        <w:tblPr>
                          <w:tblW w:w="9000" w:type="dxa"/>
                          <w:jc w:val="center"/>
                          <w:tblCellSpacing w:w="15" w:type="dxa"/>
                          <w:tblCellMar>
                            <w:left w:w="0" w:type="dxa"/>
                            <w:right w:w="0" w:type="dxa"/>
                          </w:tblCellMar>
                          <w:tblLook w:val="04A0" w:firstRow="1" w:lastRow="0" w:firstColumn="1" w:lastColumn="0" w:noHBand="0" w:noVBand="1"/>
                        </w:tblPr>
                        <w:tblGrid>
                          <w:gridCol w:w="9000"/>
                        </w:tblGrid>
                        <w:tr w:rsidR="00071CFB" w14:paraId="76D49C8D" w14:textId="77777777" w:rsidTr="00071CFB">
                          <w:trPr>
                            <w:tblCellSpacing w:w="15" w:type="dxa"/>
                            <w:jc w:val="center"/>
                          </w:trPr>
                          <w:tc>
                            <w:tcPr>
                              <w:tcW w:w="8700" w:type="dxa"/>
                              <w:vAlign w:val="center"/>
                              <w:hideMark/>
                            </w:tcPr>
                            <w:p w14:paraId="620D550B" w14:textId="77777777" w:rsidR="006C142D" w:rsidRDefault="006C142D" w:rsidP="006C142D">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new tool to email MPs; payment timetable update; sign up for NHSE&amp;I Bulletin; AMS virtual event now on-demand.</w:t>
                              </w:r>
                            </w:p>
                            <w:p w14:paraId="34847691" w14:textId="77777777" w:rsidR="006C142D" w:rsidRDefault="006C142D" w:rsidP="006C142D">
                              <w:pPr>
                                <w:jc w:val="both"/>
                                <w:rPr>
                                  <w:rFonts w:ascii="Tahoma" w:hAnsi="Tahoma" w:cs="Tahoma"/>
                                  <w:color w:val="303030"/>
                                  <w:sz w:val="21"/>
                                  <w:szCs w:val="21"/>
                                </w:rPr>
                              </w:pPr>
                              <w:r>
                                <w:rPr>
                                  <w:rFonts w:ascii="Tahoma" w:hAnsi="Tahoma" w:cs="Tahoma"/>
                                  <w:color w:val="303030"/>
                                  <w:sz w:val="21"/>
                                  <w:szCs w:val="21"/>
                                </w:rPr>
                                <w:t> </w:t>
                              </w:r>
                            </w:p>
                            <w:p w14:paraId="58C55DE9" w14:textId="77777777" w:rsidR="006C142D" w:rsidRPr="006C142D" w:rsidRDefault="006C142D" w:rsidP="006C142D">
                              <w:pPr>
                                <w:pStyle w:val="Heading3"/>
                                <w:spacing w:before="0" w:after="75" w:line="297" w:lineRule="atLeast"/>
                                <w:rPr>
                                  <w:rFonts w:ascii="Tahoma" w:hAnsi="Tahoma" w:cs="Tahoma"/>
                                  <w:b/>
                                  <w:bCs/>
                                  <w:color w:val="4E3487"/>
                                  <w:sz w:val="28"/>
                                  <w:szCs w:val="28"/>
                                </w:rPr>
                              </w:pPr>
                              <w:r w:rsidRPr="006C142D">
                                <w:rPr>
                                  <w:rFonts w:ascii="Tahoma" w:hAnsi="Tahoma" w:cs="Tahoma"/>
                                  <w:b/>
                                  <w:bCs/>
                                  <w:color w:val="4E3487"/>
                                  <w:sz w:val="28"/>
                                  <w:szCs w:val="28"/>
                                </w:rPr>
                                <w:t>APPG unveils new tool to email MPs about pharmacy</w:t>
                              </w:r>
                            </w:p>
                            <w:p w14:paraId="26B08731" w14:textId="77777777" w:rsidR="006C142D" w:rsidRDefault="006C142D" w:rsidP="006C142D">
                              <w:pPr>
                                <w:rPr>
                                  <w:rFonts w:ascii="Tahoma" w:hAnsi="Tahoma" w:cs="Tahoma"/>
                                  <w:color w:val="303030"/>
                                  <w:sz w:val="21"/>
                                  <w:szCs w:val="21"/>
                                </w:rPr>
                              </w:pPr>
                              <w:r>
                                <w:rPr>
                                  <w:rFonts w:ascii="Tahoma" w:hAnsi="Tahoma" w:cs="Tahoma"/>
                                  <w:color w:val="303030"/>
                                  <w:sz w:val="21"/>
                                  <w:szCs w:val="21"/>
                                </w:rPr>
                                <w:br/>
                                <w:t>Contractors and pharmacy teams now have access to a new tool to contact their local MP about pharmacy and encourage them to support the work of the All-Party Pharmacy Group (APPG). </w:t>
                              </w:r>
                              <w:r>
                                <w:rPr>
                                  <w:rFonts w:ascii="Tahoma" w:hAnsi="Tahoma" w:cs="Tahoma"/>
                                  <w:color w:val="303030"/>
                                  <w:sz w:val="21"/>
                                  <w:szCs w:val="21"/>
                                </w:rPr>
                                <w:br/>
                              </w:r>
                              <w:r>
                                <w:rPr>
                                  <w:rFonts w:ascii="Tahoma" w:hAnsi="Tahoma" w:cs="Tahoma"/>
                                  <w:color w:val="303030"/>
                                  <w:sz w:val="21"/>
                                  <w:szCs w:val="21"/>
                                </w:rPr>
                                <w:br/>
                                <w:t>By simply inputting your postcode and contact details, the tool helps you to identify your local MP. You can then send an email asking them to support the APPG, including by attending the Group's next virtual event on Wednesday 28th April. </w:t>
                              </w:r>
                              <w:r>
                                <w:rPr>
                                  <w:rFonts w:ascii="Tahoma" w:hAnsi="Tahoma" w:cs="Tahoma"/>
                                  <w:color w:val="303030"/>
                                  <w:sz w:val="21"/>
                                  <w:szCs w:val="21"/>
                                </w:rPr>
                                <w:br/>
                              </w:r>
                              <w:r>
                                <w:rPr>
                                  <w:rFonts w:ascii="Tahoma" w:hAnsi="Tahoma" w:cs="Tahoma"/>
                                  <w:color w:val="303030"/>
                                  <w:sz w:val="21"/>
                                  <w:szCs w:val="21"/>
                                </w:rPr>
                                <w:br/>
                                <w:t>The function provides you with a template that includes all of the necessary information, but this can be further personalised if you have anything else you wish to include.</w:t>
                              </w:r>
                              <w:r>
                                <w:rPr>
                                  <w:rFonts w:ascii="Tahoma" w:hAnsi="Tahoma" w:cs="Tahoma"/>
                                  <w:color w:val="303030"/>
                                  <w:sz w:val="21"/>
                                  <w:szCs w:val="21"/>
                                </w:rPr>
                                <w:br/>
                              </w:r>
                              <w:r>
                                <w:rPr>
                                  <w:rFonts w:ascii="Tahoma" w:hAnsi="Tahoma" w:cs="Tahoma"/>
                                  <w:color w:val="303030"/>
                                  <w:sz w:val="21"/>
                                  <w:szCs w:val="21"/>
                                </w:rPr>
                                <w:br/>
                              </w:r>
                              <w:hyperlink r:id="rId9" w:tgtFrame="_blank" w:tooltip="https://pharmacyappgemailyourmp.org.uk/" w:history="1">
                                <w:r>
                                  <w:rPr>
                                    <w:rStyle w:val="Hyperlink"/>
                                    <w:rFonts w:ascii="Tahoma" w:hAnsi="Tahoma" w:cs="Tahoma"/>
                                    <w:b/>
                                    <w:bCs/>
                                    <w:color w:val="4E3487"/>
                                    <w:sz w:val="21"/>
                                    <w:szCs w:val="21"/>
                                  </w:rPr>
                                  <w:t>Use the APPG tool to contact your local MP</w:t>
                                </w:r>
                              </w:hyperlink>
                              <w:r>
                                <w:rPr>
                                  <w:rFonts w:ascii="Tahoma" w:hAnsi="Tahoma" w:cs="Tahoma"/>
                                  <w:color w:val="303030"/>
                                  <w:sz w:val="21"/>
                                  <w:szCs w:val="21"/>
                                </w:rPr>
                                <w:br/>
                                <w:t> </w:t>
                              </w:r>
                            </w:p>
                            <w:p w14:paraId="5D3F2A95" w14:textId="77777777" w:rsidR="006C142D" w:rsidRPr="006C142D" w:rsidRDefault="006C142D" w:rsidP="006C142D">
                              <w:pPr>
                                <w:pStyle w:val="Heading3"/>
                                <w:spacing w:before="0" w:after="75" w:line="297" w:lineRule="atLeast"/>
                                <w:rPr>
                                  <w:rFonts w:ascii="Tahoma" w:hAnsi="Tahoma" w:cs="Tahoma"/>
                                  <w:b/>
                                  <w:bCs/>
                                  <w:color w:val="4E3487"/>
                                  <w:sz w:val="28"/>
                                  <w:szCs w:val="28"/>
                                </w:rPr>
                              </w:pPr>
                              <w:r w:rsidRPr="006C142D">
                                <w:rPr>
                                  <w:rFonts w:ascii="Tahoma" w:hAnsi="Tahoma" w:cs="Tahoma"/>
                                  <w:b/>
                                  <w:bCs/>
                                  <w:color w:val="4E3487"/>
                                  <w:sz w:val="28"/>
                                  <w:szCs w:val="28"/>
                                </w:rPr>
                                <w:t>Payment timetable update</w:t>
                              </w:r>
                            </w:p>
                            <w:p w14:paraId="5B51706B" w14:textId="77777777" w:rsidR="006C142D" w:rsidRDefault="006C142D" w:rsidP="006C142D">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PSNC has this week updated its payment timetable and deadline tracker to include the</w:t>
                              </w:r>
                              <w:r>
                                <w:rPr>
                                  <w:rStyle w:val="apple-converted-space"/>
                                  <w:rFonts w:ascii="Tahoma" w:hAnsi="Tahoma" w:cs="Tahoma"/>
                                  <w:color w:val="303030"/>
                                  <w:sz w:val="21"/>
                                  <w:szCs w:val="21"/>
                                  <w:shd w:val="clear" w:color="auto" w:fill="FFFFFF"/>
                                </w:rPr>
                                <w:t> </w:t>
                              </w:r>
                              <w:hyperlink r:id="rId10" w:tgtFrame="_blank" w:history="1">
                                <w:r>
                                  <w:rPr>
                                    <w:rStyle w:val="Hyperlink"/>
                                    <w:rFonts w:ascii="Tahoma" w:hAnsi="Tahoma" w:cs="Tahoma"/>
                                    <w:b/>
                                    <w:bCs/>
                                    <w:color w:val="4E3487"/>
                                    <w:sz w:val="21"/>
                                    <w:szCs w:val="21"/>
                                  </w:rPr>
                                  <w:t>NHS community pharmacy C-19 lateral flow device distribution service (Pharmacy Collect)</w:t>
                                </w:r>
                              </w:hyperlink>
                              <w:r>
                                <w:rPr>
                                  <w:rFonts w:ascii="Tahoma" w:hAnsi="Tahoma" w:cs="Tahoma"/>
                                  <w:color w:val="303030"/>
                                  <w:sz w:val="21"/>
                                  <w:szCs w:val="21"/>
                                  <w:shd w:val="clear" w:color="auto" w:fill="FFFFFF"/>
                                </w:rPr>
                                <w:t>.</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t>This timetable has been specially designed to assist community pharmacy contractors with checking and claiming payments for a range of new services that launched in the past year, including the Pandemic Delivery Service and the GP Community Pharmacist Consultation Service (CPCS).</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Learn more about PSNC's payment timetable</w:t>
                                </w:r>
                              </w:hyperlink>
                              <w:r>
                                <w:rPr>
                                  <w:rFonts w:ascii="Tahoma" w:hAnsi="Tahoma" w:cs="Tahoma"/>
                                  <w:color w:val="303030"/>
                                  <w:sz w:val="21"/>
                                  <w:szCs w:val="21"/>
                                </w:rPr>
                                <w:br/>
                              </w:r>
                              <w:r>
                                <w:rPr>
                                  <w:rFonts w:ascii="Tahoma" w:hAnsi="Tahoma" w:cs="Tahoma"/>
                                  <w:color w:val="303030"/>
                                  <w:sz w:val="21"/>
                                  <w:szCs w:val="21"/>
                                  <w:shd w:val="clear" w:color="auto" w:fill="FFFFFF"/>
                                </w:rPr>
                                <w:t> </w:t>
                              </w:r>
                            </w:p>
                            <w:p w14:paraId="5E528DFD" w14:textId="77777777" w:rsidR="006C142D" w:rsidRPr="006C142D" w:rsidRDefault="006C142D" w:rsidP="006C142D">
                              <w:pPr>
                                <w:pStyle w:val="Heading3"/>
                                <w:spacing w:before="0" w:after="75" w:line="297" w:lineRule="atLeast"/>
                                <w:rPr>
                                  <w:rFonts w:ascii="Tahoma" w:hAnsi="Tahoma" w:cs="Tahoma"/>
                                  <w:b/>
                                  <w:bCs/>
                                  <w:color w:val="4E3487"/>
                                  <w:sz w:val="28"/>
                                  <w:szCs w:val="28"/>
                                </w:rPr>
                              </w:pPr>
                              <w:r w:rsidRPr="006C142D">
                                <w:rPr>
                                  <w:rFonts w:ascii="Tahoma" w:hAnsi="Tahoma" w:cs="Tahoma"/>
                                  <w:b/>
                                  <w:bCs/>
                                  <w:color w:val="4E3487"/>
                                  <w:sz w:val="28"/>
                                  <w:szCs w:val="28"/>
                                </w:rPr>
                                <w:t>NHSE&amp;I Primary Care bulletin</w:t>
                              </w:r>
                            </w:p>
                            <w:p w14:paraId="201E09F0" w14:textId="77777777" w:rsidR="006C142D" w:rsidRDefault="006C142D" w:rsidP="006C142D">
                              <w:pPr>
                                <w:pStyle w:val="NormalWeb"/>
                                <w:jc w:val="both"/>
                                <w:rPr>
                                  <w:rFonts w:ascii="Tahoma" w:hAnsi="Tahoma" w:cs="Tahoma"/>
                                  <w:color w:val="303030"/>
                                  <w:sz w:val="21"/>
                                  <w:szCs w:val="21"/>
                                </w:rPr>
                              </w:pPr>
                              <w:r>
                                <w:rPr>
                                  <w:rFonts w:ascii="Tahoma" w:hAnsi="Tahoma" w:cs="Tahoma"/>
                                  <w:color w:val="303030"/>
                                  <w:sz w:val="21"/>
                                  <w:szCs w:val="21"/>
                                </w:rPr>
                                <w:t>Pharmacy contractors are reminded that NHS England and NHS Improvement (NHSE&amp;I) issue a Primary Care bulletin that includes a specific section covering updates for community pharmacy. This bulletin is usually monthly but is being sent out more regularly during the C-19 pandemic.</w:t>
                              </w:r>
                            </w:p>
                            <w:p w14:paraId="3B700CA9" w14:textId="77777777" w:rsidR="006C142D" w:rsidRDefault="006C142D" w:rsidP="006C142D">
                              <w:pPr>
                                <w:pStyle w:val="NormalWeb"/>
                                <w:jc w:val="both"/>
                                <w:rPr>
                                  <w:rFonts w:ascii="Tahoma" w:hAnsi="Tahoma" w:cs="Tahoma"/>
                                  <w:color w:val="303030"/>
                                  <w:sz w:val="21"/>
                                  <w:szCs w:val="21"/>
                                </w:rPr>
                              </w:pPr>
                              <w:r>
                                <w:rPr>
                                  <w:rFonts w:ascii="Tahoma" w:hAnsi="Tahoma" w:cs="Tahoma"/>
                                  <w:color w:val="303030"/>
                                  <w:sz w:val="21"/>
                                  <w:szCs w:val="21"/>
                                </w:rPr>
                                <w:t>PSNC recommends that contractors register to receive these updates.</w:t>
                              </w:r>
                            </w:p>
                            <w:p w14:paraId="54A28C61" w14:textId="77777777" w:rsidR="006C142D" w:rsidRDefault="006C142D" w:rsidP="006C142D">
                              <w:pPr>
                                <w:pStyle w:val="NormalWeb"/>
                                <w:jc w:val="both"/>
                                <w:rPr>
                                  <w:rFonts w:ascii="Tahoma" w:hAnsi="Tahoma" w:cs="Tahoma"/>
                                  <w:color w:val="303030"/>
                                  <w:sz w:val="21"/>
                                  <w:szCs w:val="21"/>
                                </w:rPr>
                              </w:pPr>
                              <w:hyperlink r:id="rId12" w:tgtFrame="_blank" w:history="1">
                                <w:r>
                                  <w:rPr>
                                    <w:rStyle w:val="Strong"/>
                                    <w:rFonts w:ascii="Tahoma" w:eastAsiaTheme="majorEastAsia" w:hAnsi="Tahoma" w:cs="Tahoma"/>
                                    <w:color w:val="4E3487"/>
                                    <w:sz w:val="21"/>
                                    <w:szCs w:val="21"/>
                                    <w:u w:val="single"/>
                                  </w:rPr>
                                  <w:t>Sign up for the Primary Care bulletin</w:t>
                                </w:r>
                              </w:hyperlink>
                            </w:p>
                            <w:p w14:paraId="7AF04F09" w14:textId="77777777" w:rsidR="006C142D" w:rsidRPr="006C142D" w:rsidRDefault="006C142D" w:rsidP="006C142D">
                              <w:pPr>
                                <w:pStyle w:val="Heading3"/>
                                <w:spacing w:before="0" w:after="75" w:line="297" w:lineRule="atLeast"/>
                                <w:rPr>
                                  <w:rFonts w:ascii="Tahoma" w:hAnsi="Tahoma" w:cs="Tahoma"/>
                                  <w:b/>
                                  <w:bCs/>
                                  <w:color w:val="4E3487"/>
                                  <w:sz w:val="28"/>
                                  <w:szCs w:val="28"/>
                                </w:rPr>
                              </w:pPr>
                              <w:r w:rsidRPr="006C142D">
                                <w:rPr>
                                  <w:rFonts w:ascii="Tahoma" w:hAnsi="Tahoma" w:cs="Tahoma"/>
                                  <w:b/>
                                  <w:bCs/>
                                  <w:color w:val="4E3487"/>
                                  <w:sz w:val="28"/>
                                  <w:szCs w:val="28"/>
                                </w:rPr>
                                <w:t>AMS virtual event now on-demand</w:t>
                              </w:r>
                            </w:p>
                            <w:p w14:paraId="7014F863" w14:textId="77777777" w:rsidR="006C142D" w:rsidRDefault="006C142D" w:rsidP="006C142D">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Community pharmacy contractors can now access an online recording of the antimicrobial stewardship (AMS) virtual event, which was hosted by the Public Health England (PHE) English Surveillance Programme for Antimicrobial Utilisation and Resistance (ESPAUR) team on 30th March 2021.</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t>This webinar focuses on shared learning from community pharmacists who have been using the TARGET antibiotic checklist and other AMS tools in community pharmacy.</w:t>
                              </w:r>
                              <w:r>
                                <w:rPr>
                                  <w:rFonts w:ascii="Tahoma" w:hAnsi="Tahoma" w:cs="Tahoma"/>
                                  <w:color w:val="303030"/>
                                  <w:sz w:val="21"/>
                                  <w:szCs w:val="21"/>
                                </w:rPr>
                                <w:br/>
                              </w:r>
                              <w:r>
                                <w:rPr>
                                  <w:rFonts w:ascii="Tahoma" w:hAnsi="Tahoma" w:cs="Tahoma"/>
                                  <w:color w:val="303030"/>
                                  <w:sz w:val="21"/>
                                  <w:szCs w:val="21"/>
                                </w:rPr>
                                <w:br/>
                              </w:r>
                              <w:hyperlink r:id="rId13" w:tgtFrame="_blank" w:history="1">
                                <w:r>
                                  <w:rPr>
                                    <w:rStyle w:val="Hyperlink"/>
                                    <w:rFonts w:ascii="Tahoma" w:hAnsi="Tahoma" w:cs="Tahoma"/>
                                    <w:b/>
                                    <w:bCs/>
                                    <w:color w:val="4E3487"/>
                                    <w:sz w:val="21"/>
                                    <w:szCs w:val="21"/>
                                  </w:rPr>
                                  <w:t>View the webinar</w:t>
                                </w:r>
                              </w:hyperlink>
                              <w:r>
                                <w:rPr>
                                  <w:rFonts w:ascii="Tahoma" w:hAnsi="Tahoma" w:cs="Tahoma"/>
                                  <w:color w:val="303030"/>
                                  <w:sz w:val="21"/>
                                  <w:szCs w:val="21"/>
                                </w:rPr>
                                <w:br/>
                              </w:r>
                              <w:r>
                                <w:rPr>
                                  <w:rFonts w:ascii="Tahoma" w:hAnsi="Tahoma" w:cs="Tahoma"/>
                                  <w:color w:val="303030"/>
                                  <w:sz w:val="21"/>
                                  <w:szCs w:val="21"/>
                                  <w:shd w:val="clear" w:color="auto" w:fill="FFFFFF"/>
                                </w:rPr>
                                <w:t> </w:t>
                              </w:r>
                            </w:p>
                            <w:tbl>
                              <w:tblPr>
                                <w:tblW w:w="5000" w:type="pct"/>
                                <w:tblCellSpacing w:w="15" w:type="dxa"/>
                                <w:tblCellMar>
                                  <w:top w:w="200" w:type="dxa"/>
                                  <w:left w:w="200" w:type="dxa"/>
                                  <w:bottom w:w="200" w:type="dxa"/>
                                  <w:right w:w="200" w:type="dxa"/>
                                </w:tblCellMar>
                                <w:tblLook w:val="04A0" w:firstRow="1" w:lastRow="0" w:firstColumn="1" w:lastColumn="0" w:noHBand="0" w:noVBand="1"/>
                              </w:tblPr>
                              <w:tblGrid>
                                <w:gridCol w:w="8940"/>
                              </w:tblGrid>
                              <w:tr w:rsidR="006C142D" w14:paraId="1A23B221" w14:textId="77777777" w:rsidTr="006C142D">
                                <w:trPr>
                                  <w:tblCellSpacing w:w="15" w:type="dxa"/>
                                </w:trPr>
                                <w:tc>
                                  <w:tcPr>
                                    <w:tcW w:w="0" w:type="auto"/>
                                    <w:shd w:val="clear" w:color="auto" w:fill="4E3487"/>
                                    <w:vAlign w:val="center"/>
                                    <w:hideMark/>
                                  </w:tcPr>
                                  <w:p w14:paraId="6F89F25C" w14:textId="77777777" w:rsidR="006C142D" w:rsidRDefault="006C142D" w:rsidP="006C142D">
                                    <w:pPr>
                                      <w:pStyle w:val="Heading3"/>
                                      <w:spacing w:before="0" w:after="75" w:line="297" w:lineRule="atLeast"/>
                                      <w:jc w:val="center"/>
                                      <w:rPr>
                                        <w:rFonts w:ascii="Tahoma" w:hAnsi="Tahoma" w:cs="Tahoma"/>
                                        <w:color w:val="4E3487"/>
                                      </w:rPr>
                                    </w:pPr>
                                    <w:r>
                                      <w:rPr>
                                        <w:rFonts w:ascii="Tahoma" w:hAnsi="Tahoma" w:cs="Tahoma"/>
                                        <w:color w:val="FFFFFF"/>
                                      </w:rPr>
                                      <w:t>Have you seen our latest FAQs?</w:t>
                                    </w:r>
                                  </w:p>
                                </w:tc>
                              </w:tr>
                            </w:tbl>
                            <w:p w14:paraId="66755575" w14:textId="77777777" w:rsidR="006C142D" w:rsidRDefault="006C142D" w:rsidP="006C142D">
                              <w:pPr>
                                <w:pStyle w:val="NormalWeb"/>
                                <w:jc w:val="both"/>
                                <w:rPr>
                                  <w:rFonts w:ascii="Tahoma" w:hAnsi="Tahoma" w:cs="Tahoma"/>
                                  <w:color w:val="303030"/>
                                  <w:sz w:val="21"/>
                                  <w:szCs w:val="21"/>
                                </w:rPr>
                              </w:pPr>
                              <w:r>
                                <w:rPr>
                                  <w:rFonts w:ascii="Tahoma" w:hAnsi="Tahoma" w:cs="Tahoma"/>
                                  <w:color w:val="303030"/>
                                  <w:sz w:val="21"/>
                                  <w:szCs w:val="21"/>
                                </w:rPr>
                                <w:t>PSNC's website has a large number of answers to queries posed by pharmacy contractors, their teams, and LPCs; these are updated on a regular basis. Recent additions on</w:t>
                              </w:r>
                              <w:r>
                                <w:rPr>
                                  <w:rStyle w:val="apple-converted-space"/>
                                  <w:rFonts w:ascii="Tahoma" w:hAnsi="Tahoma" w:cs="Tahoma"/>
                                  <w:color w:val="303030"/>
                                  <w:sz w:val="21"/>
                                  <w:szCs w:val="21"/>
                                </w:rPr>
                                <w:t> </w:t>
                              </w:r>
                              <w:r>
                                <w:rPr>
                                  <w:rStyle w:val="Strong"/>
                                  <w:rFonts w:ascii="Tahoma" w:eastAsiaTheme="majorEastAsia" w:hAnsi="Tahoma" w:cs="Tahoma"/>
                                  <w:color w:val="303030"/>
                                  <w:sz w:val="21"/>
                                  <w:szCs w:val="21"/>
                                </w:rPr>
                                <w:t>the C-19 test distribution service </w:t>
                              </w:r>
                              <w:r>
                                <w:rPr>
                                  <w:rFonts w:ascii="Tahoma" w:hAnsi="Tahoma" w:cs="Tahoma"/>
                                  <w:color w:val="303030"/>
                                  <w:sz w:val="21"/>
                                  <w:szCs w:val="21"/>
                                </w:rPr>
                                <w:t>include:</w:t>
                              </w:r>
                            </w:p>
                            <w:p w14:paraId="3E5C4F8F" w14:textId="77777777" w:rsidR="006C142D" w:rsidRDefault="006C142D" w:rsidP="006C142D">
                              <w:pPr>
                                <w:pStyle w:val="NormalWeb"/>
                                <w:jc w:val="both"/>
                                <w:rPr>
                                  <w:rFonts w:ascii="Tahoma" w:hAnsi="Tahoma" w:cs="Tahoma"/>
                                  <w:color w:val="303030"/>
                                  <w:sz w:val="21"/>
                                  <w:szCs w:val="21"/>
                                </w:rPr>
                              </w:pPr>
                              <w:r>
                                <w:rPr>
                                  <w:rStyle w:val="Strong"/>
                                  <w:rFonts w:ascii="Tahoma" w:eastAsiaTheme="majorEastAsia" w:hAnsi="Tahoma" w:cs="Tahoma"/>
                                  <w:color w:val="303030"/>
                                  <w:sz w:val="21"/>
                                  <w:szCs w:val="21"/>
                                </w:rPr>
                                <w:t>Q. If a person provides more than one reason as to why they need tests, should I record all the reasons provided?</w:t>
                              </w:r>
                              <w:r>
                                <w:rPr>
                                  <w:rFonts w:ascii="Tahoma" w:hAnsi="Tahoma" w:cs="Tahoma"/>
                                  <w:color w:val="303030"/>
                                  <w:sz w:val="21"/>
                                  <w:szCs w:val="21"/>
                                </w:rPr>
                                <w:br/>
                              </w:r>
                              <w:r>
                                <w:rPr>
                                  <w:rFonts w:ascii="Tahoma" w:hAnsi="Tahoma" w:cs="Tahoma"/>
                                  <w:color w:val="303030"/>
                                  <w:sz w:val="21"/>
                                  <w:szCs w:val="21"/>
                                </w:rPr>
                                <w:br/>
                                <w:t>No, you should record ONE reason only (in relation to the first person requesting a test).</w:t>
                              </w:r>
                            </w:p>
                            <w:p w14:paraId="7664E38F" w14:textId="77777777" w:rsidR="006C142D" w:rsidRDefault="006C142D" w:rsidP="006C142D">
                              <w:pPr>
                                <w:pStyle w:val="NormalWeb"/>
                                <w:jc w:val="both"/>
                                <w:rPr>
                                  <w:rFonts w:ascii="Tahoma" w:hAnsi="Tahoma" w:cs="Tahoma"/>
                                  <w:color w:val="303030"/>
                                  <w:sz w:val="21"/>
                                  <w:szCs w:val="21"/>
                                </w:rPr>
                              </w:pPr>
                              <w:r>
                                <w:rPr>
                                  <w:rFonts w:ascii="Tahoma" w:hAnsi="Tahoma" w:cs="Tahoma"/>
                                  <w:color w:val="303030"/>
                                  <w:sz w:val="21"/>
                                  <w:szCs w:val="21"/>
                                </w:rPr>
                                <w:t>The data entered into Manage Your Service (MYS) will </w:t>
                              </w:r>
                              <w:r>
                                <w:rPr>
                                  <w:rStyle w:val="Strong"/>
                                  <w:rFonts w:ascii="Tahoma" w:eastAsiaTheme="majorEastAsia" w:hAnsi="Tahoma" w:cs="Tahoma"/>
                                  <w:color w:val="303030"/>
                                  <w:sz w:val="21"/>
                                  <w:szCs w:val="21"/>
                                </w:rPr>
                                <w:t>populate the payment claim for the service</w:t>
                              </w:r>
                              <w:r>
                                <w:rPr>
                                  <w:rFonts w:ascii="Tahoma" w:hAnsi="Tahoma" w:cs="Tahoma"/>
                                  <w:color w:val="303030"/>
                                  <w:sz w:val="21"/>
                                  <w:szCs w:val="21"/>
                                </w:rPr>
                                <w:t>, with the number of transactions you have undertaken in the pharmacy being based on the number of answers to this question.</w:t>
                              </w:r>
                            </w:p>
                            <w:p w14:paraId="2D7EDC42" w14:textId="5DB65D5E" w:rsidR="00071CFB" w:rsidRDefault="006C142D" w:rsidP="006C142D">
                              <w:pPr>
                                <w:pStyle w:val="NormalWeb"/>
                                <w:rPr>
                                  <w:rFonts w:ascii="Tahoma" w:hAnsi="Tahoma" w:cs="Tahoma"/>
                                  <w:color w:val="303030"/>
                                  <w:sz w:val="21"/>
                                  <w:szCs w:val="21"/>
                                </w:rPr>
                              </w:pPr>
                              <w:r>
                                <w:rPr>
                                  <w:rFonts w:ascii="Tahoma" w:hAnsi="Tahoma" w:cs="Tahoma"/>
                                  <w:color w:val="303030"/>
                                  <w:sz w:val="21"/>
                                  <w:szCs w:val="21"/>
                                </w:rPr>
                                <w:t>It is therefore essential that only</w:t>
                              </w:r>
                              <w:r>
                                <w:rPr>
                                  <w:rStyle w:val="apple-converted-space"/>
                                  <w:rFonts w:ascii="Tahoma" w:hAnsi="Tahoma" w:cs="Tahoma"/>
                                  <w:color w:val="303030"/>
                                  <w:sz w:val="21"/>
                                  <w:szCs w:val="21"/>
                                </w:rPr>
                                <w:t> </w:t>
                              </w:r>
                              <w:r>
                                <w:rPr>
                                  <w:rStyle w:val="Strong"/>
                                  <w:rFonts w:ascii="Tahoma" w:eastAsiaTheme="majorEastAsia" w:hAnsi="Tahoma" w:cs="Tahoma"/>
                                  <w:color w:val="303030"/>
                                  <w:sz w:val="21"/>
                                  <w:szCs w:val="21"/>
                                </w:rPr>
                                <w:t>one reason</w:t>
                              </w:r>
                              <w:r>
                                <w:rPr>
                                  <w:rStyle w:val="apple-converted-space"/>
                                  <w:rFonts w:ascii="Tahoma" w:hAnsi="Tahoma" w:cs="Tahoma"/>
                                  <w:color w:val="303030"/>
                                  <w:sz w:val="21"/>
                                  <w:szCs w:val="21"/>
                                </w:rPr>
                                <w:t> </w:t>
                              </w:r>
                              <w:r>
                                <w:rPr>
                                  <w:rFonts w:ascii="Tahoma" w:hAnsi="Tahoma" w:cs="Tahoma"/>
                                  <w:color w:val="303030"/>
                                  <w:sz w:val="21"/>
                                  <w:szCs w:val="21"/>
                                </w:rPr>
                                <w:t>for tests being requested is recorded for each transaction and then reported on MYS, so an inaccurate payment claim is not made.</w:t>
                              </w:r>
                              <w:r>
                                <w:rPr>
                                  <w:rFonts w:ascii="Tahoma" w:hAnsi="Tahoma" w:cs="Tahoma"/>
                                  <w:color w:val="303030"/>
                                  <w:sz w:val="21"/>
                                  <w:szCs w:val="21"/>
                                </w:rPr>
                                <w:br/>
                              </w:r>
                              <w:r>
                                <w:rPr>
                                  <w:rFonts w:ascii="Tahoma" w:hAnsi="Tahoma" w:cs="Tahoma"/>
                                  <w:color w:val="303030"/>
                                  <w:sz w:val="21"/>
                                  <w:szCs w:val="21"/>
                                </w:rPr>
                                <w:br/>
                              </w:r>
                              <w:r>
                                <w:rPr>
                                  <w:rStyle w:val="Strong"/>
                                  <w:rFonts w:ascii="Tahoma" w:eastAsiaTheme="majorEastAsia" w:hAnsi="Tahoma" w:cs="Tahoma"/>
                                  <w:color w:val="303030"/>
                                  <w:sz w:val="21"/>
                                  <w:szCs w:val="21"/>
                                </w:rPr>
                                <w:t>Q. When I enter details about Lateral Flow Device (LFD) test kits received from my wholesaler into MYS, do I record the number of cartons or boxes received (</w:t>
                              </w:r>
                              <w:proofErr w:type="gramStart"/>
                              <w:r>
                                <w:rPr>
                                  <w:rStyle w:val="Strong"/>
                                  <w:rFonts w:ascii="Tahoma" w:eastAsiaTheme="majorEastAsia" w:hAnsi="Tahoma" w:cs="Tahoma"/>
                                  <w:color w:val="303030"/>
                                  <w:sz w:val="21"/>
                                  <w:szCs w:val="21"/>
                                </w:rPr>
                                <w:t>e.g.</w:t>
                              </w:r>
                              <w:proofErr w:type="gramEnd"/>
                              <w:r>
                                <w:rPr>
                                  <w:rStyle w:val="Strong"/>
                                  <w:rFonts w:ascii="Tahoma" w:eastAsiaTheme="majorEastAsia" w:hAnsi="Tahoma" w:cs="Tahoma"/>
                                  <w:color w:val="303030"/>
                                  <w:sz w:val="21"/>
                                  <w:szCs w:val="21"/>
                                </w:rPr>
                                <w:t xml:space="preserve"> one carton or 54 boxes)?</w:t>
                              </w:r>
                              <w:r>
                                <w:rPr>
                                  <w:rFonts w:ascii="Tahoma" w:hAnsi="Tahoma" w:cs="Tahoma"/>
                                  <w:color w:val="303030"/>
                                  <w:sz w:val="21"/>
                                  <w:szCs w:val="21"/>
                                </w:rPr>
                                <w:br/>
                              </w:r>
                              <w:r>
                                <w:rPr>
                                  <w:rFonts w:ascii="Tahoma" w:hAnsi="Tahoma" w:cs="Tahoma"/>
                                  <w:color w:val="303030"/>
                                  <w:sz w:val="21"/>
                                  <w:szCs w:val="21"/>
                                </w:rPr>
                                <w:br/>
                                <w:t>The number of cartons received should be entered into MYS when making a record of the LFD test kits received. Therefore, if you receive one carton, you should enter the number ‘1’</w:t>
                              </w:r>
                              <w:r>
                                <w:rPr>
                                  <w:rStyle w:val="apple-converted-space"/>
                                  <w:rFonts w:ascii="Tahoma" w:hAnsi="Tahoma" w:cs="Tahoma"/>
                                  <w:color w:val="303030"/>
                                  <w:sz w:val="21"/>
                                  <w:szCs w:val="21"/>
                                </w:rPr>
                                <w:t> </w:t>
                              </w:r>
                              <w:r>
                                <w:rPr>
                                  <w:rStyle w:val="Strong"/>
                                  <w:rFonts w:ascii="Tahoma" w:eastAsiaTheme="majorEastAsia" w:hAnsi="Tahoma" w:cs="Tahoma"/>
                                  <w:color w:val="303030"/>
                                  <w:sz w:val="21"/>
                                  <w:szCs w:val="21"/>
                                </w:rPr>
                                <w:t>AND</w:t>
                              </w:r>
                              <w:r>
                                <w:rPr>
                                  <w:rFonts w:ascii="Tahoma" w:hAnsi="Tahoma" w:cs="Tahoma"/>
                                  <w:color w:val="303030"/>
                                  <w:sz w:val="21"/>
                                  <w:szCs w:val="21"/>
                                </w:rPr>
                                <w:t> </w:t>
                              </w:r>
                              <w:r>
                                <w:rPr>
                                  <w:rStyle w:val="Strong"/>
                                  <w:rFonts w:ascii="Tahoma" w:eastAsiaTheme="majorEastAsia" w:hAnsi="Tahoma" w:cs="Tahoma"/>
                                  <w:color w:val="303030"/>
                                  <w:sz w:val="21"/>
                                  <w:szCs w:val="21"/>
                                </w:rPr>
                                <w:t>NOT </w:t>
                              </w:r>
                              <w:r>
                                <w:rPr>
                                  <w:rFonts w:ascii="Tahoma" w:hAnsi="Tahoma" w:cs="Tahoma"/>
                                  <w:color w:val="303030"/>
                                  <w:sz w:val="21"/>
                                  <w:szCs w:val="21"/>
                                </w:rPr>
                                <w:t>‘54’ (which is the number of boxes).</w:t>
                              </w:r>
                              <w:r>
                                <w:rPr>
                                  <w:rFonts w:ascii="Tahoma" w:hAnsi="Tahoma" w:cs="Tahoma"/>
                                  <w:color w:val="303030"/>
                                  <w:sz w:val="21"/>
                                  <w:szCs w:val="21"/>
                                </w:rPr>
                                <w:br/>
                              </w:r>
                              <w:r>
                                <w:rPr>
                                  <w:rFonts w:ascii="Tahoma" w:hAnsi="Tahoma" w:cs="Tahoma"/>
                                  <w:color w:val="303030"/>
                                  <w:sz w:val="21"/>
                                  <w:szCs w:val="21"/>
                                </w:rPr>
                                <w:br/>
                              </w:r>
                              <w:r>
                                <w:rPr>
                                  <w:rStyle w:val="Strong"/>
                                  <w:rFonts w:ascii="Tahoma" w:eastAsiaTheme="majorEastAsia" w:hAnsi="Tahoma" w:cs="Tahoma"/>
                                  <w:color w:val="303030"/>
                                  <w:sz w:val="21"/>
                                  <w:szCs w:val="21"/>
                                </w:rPr>
                                <w:t>Q. If I supply as one transaction, four boxes of test kits to a person requesting kits for four people, do I get paid four transaction fees?</w:t>
                              </w:r>
                              <w:r>
                                <w:rPr>
                                  <w:rFonts w:ascii="Tahoma" w:hAnsi="Tahoma" w:cs="Tahoma"/>
                                  <w:color w:val="303030"/>
                                  <w:sz w:val="21"/>
                                  <w:szCs w:val="21"/>
                                </w:rPr>
                                <w:br/>
                              </w:r>
                              <w:r>
                                <w:rPr>
                                  <w:rFonts w:ascii="Tahoma" w:hAnsi="Tahoma" w:cs="Tahoma"/>
                                  <w:color w:val="303030"/>
                                  <w:sz w:val="21"/>
                                  <w:szCs w:val="21"/>
                                </w:rPr>
                                <w:br/>
                                <w:t>No, a transaction fee is paid for each transaction, not each box of test kits supplied. A transaction can include the supply of up to four test kits.</w:t>
                              </w:r>
                            </w:p>
                          </w:tc>
                        </w:tr>
                      </w:tbl>
                      <w:p w14:paraId="5586BF7D" w14:textId="77777777" w:rsidR="00071CFB" w:rsidRDefault="00071CFB" w:rsidP="00071CFB">
                        <w:pPr>
                          <w:rPr>
                            <w:rFonts w:ascii="Times New Roman" w:hAnsi="Times New Roman" w:cs="Times New Roman"/>
                          </w:rPr>
                        </w:pPr>
                      </w:p>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4"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lastRenderedPageBreak/>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3"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5A2B37"/>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B7F23"/>
    <w:multiLevelType w:val="multilevel"/>
    <w:tmpl w:val="6AB2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93F79"/>
    <w:multiLevelType w:val="multilevel"/>
    <w:tmpl w:val="6820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00606F"/>
    <w:multiLevelType w:val="multilevel"/>
    <w:tmpl w:val="7998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5"/>
  </w:num>
  <w:num w:numId="4">
    <w:abstractNumId w:val="14"/>
  </w:num>
  <w:num w:numId="5">
    <w:abstractNumId w:val="3"/>
  </w:num>
  <w:num w:numId="6">
    <w:abstractNumId w:val="12"/>
  </w:num>
  <w:num w:numId="7">
    <w:abstractNumId w:val="11"/>
  </w:num>
  <w:num w:numId="8">
    <w:abstractNumId w:val="7"/>
  </w:num>
  <w:num w:numId="9">
    <w:abstractNumId w:val="13"/>
  </w:num>
  <w:num w:numId="10">
    <w:abstractNumId w:val="18"/>
  </w:num>
  <w:num w:numId="11">
    <w:abstractNumId w:val="8"/>
  </w:num>
  <w:num w:numId="12">
    <w:abstractNumId w:val="23"/>
  </w:num>
  <w:num w:numId="13">
    <w:abstractNumId w:val="4"/>
  </w:num>
  <w:num w:numId="14">
    <w:abstractNumId w:val="24"/>
  </w:num>
  <w:num w:numId="15">
    <w:abstractNumId w:val="27"/>
  </w:num>
  <w:num w:numId="16">
    <w:abstractNumId w:val="20"/>
  </w:num>
  <w:num w:numId="17">
    <w:abstractNumId w:val="21"/>
  </w:num>
  <w:num w:numId="18">
    <w:abstractNumId w:val="1"/>
  </w:num>
  <w:num w:numId="19">
    <w:abstractNumId w:val="9"/>
  </w:num>
  <w:num w:numId="20">
    <w:abstractNumId w:val="28"/>
  </w:num>
  <w:num w:numId="21">
    <w:abstractNumId w:val="17"/>
  </w:num>
  <w:num w:numId="22">
    <w:abstractNumId w:val="2"/>
  </w:num>
  <w:num w:numId="23">
    <w:abstractNumId w:val="15"/>
  </w:num>
  <w:num w:numId="24">
    <w:abstractNumId w:val="16"/>
  </w:num>
  <w:num w:numId="25">
    <w:abstractNumId w:val="19"/>
  </w:num>
  <w:num w:numId="26">
    <w:abstractNumId w:val="22"/>
  </w:num>
  <w:num w:numId="27">
    <w:abstractNumId w:val="6"/>
  </w:num>
  <w:num w:numId="28">
    <w:abstractNumId w:val="2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2246A"/>
    <w:rsid w:val="0003340D"/>
    <w:rsid w:val="000335F9"/>
    <w:rsid w:val="00034093"/>
    <w:rsid w:val="000428D4"/>
    <w:rsid w:val="00070E58"/>
    <w:rsid w:val="00071CFB"/>
    <w:rsid w:val="000A549E"/>
    <w:rsid w:val="000B5A0C"/>
    <w:rsid w:val="000D4C3B"/>
    <w:rsid w:val="000E1442"/>
    <w:rsid w:val="000F4332"/>
    <w:rsid w:val="001139B7"/>
    <w:rsid w:val="00114C5E"/>
    <w:rsid w:val="0012103F"/>
    <w:rsid w:val="001243C6"/>
    <w:rsid w:val="00152E8A"/>
    <w:rsid w:val="00156F50"/>
    <w:rsid w:val="001658F9"/>
    <w:rsid w:val="00166151"/>
    <w:rsid w:val="00171CF5"/>
    <w:rsid w:val="00172D0B"/>
    <w:rsid w:val="00173D74"/>
    <w:rsid w:val="00182ED4"/>
    <w:rsid w:val="001B17CE"/>
    <w:rsid w:val="001B462C"/>
    <w:rsid w:val="001E6FF6"/>
    <w:rsid w:val="001F5CFD"/>
    <w:rsid w:val="0022113A"/>
    <w:rsid w:val="002522E4"/>
    <w:rsid w:val="002902D8"/>
    <w:rsid w:val="002907F7"/>
    <w:rsid w:val="00296B2E"/>
    <w:rsid w:val="0029711A"/>
    <w:rsid w:val="002A3E79"/>
    <w:rsid w:val="002C520A"/>
    <w:rsid w:val="002E0191"/>
    <w:rsid w:val="002F42A7"/>
    <w:rsid w:val="00324705"/>
    <w:rsid w:val="00326D98"/>
    <w:rsid w:val="0033373B"/>
    <w:rsid w:val="00352629"/>
    <w:rsid w:val="00373C2A"/>
    <w:rsid w:val="003C0184"/>
    <w:rsid w:val="003F4C63"/>
    <w:rsid w:val="00406FBA"/>
    <w:rsid w:val="00432DF1"/>
    <w:rsid w:val="004638BB"/>
    <w:rsid w:val="00477B5C"/>
    <w:rsid w:val="004C32C5"/>
    <w:rsid w:val="005002E6"/>
    <w:rsid w:val="00515F7F"/>
    <w:rsid w:val="00520043"/>
    <w:rsid w:val="005311C9"/>
    <w:rsid w:val="00536ECF"/>
    <w:rsid w:val="0054036E"/>
    <w:rsid w:val="005468E9"/>
    <w:rsid w:val="00565973"/>
    <w:rsid w:val="00573E2E"/>
    <w:rsid w:val="0058326B"/>
    <w:rsid w:val="005A2B37"/>
    <w:rsid w:val="005B5858"/>
    <w:rsid w:val="005E1262"/>
    <w:rsid w:val="00616D0F"/>
    <w:rsid w:val="00627E1A"/>
    <w:rsid w:val="00634939"/>
    <w:rsid w:val="00645E44"/>
    <w:rsid w:val="00655715"/>
    <w:rsid w:val="00664481"/>
    <w:rsid w:val="0067082C"/>
    <w:rsid w:val="00674355"/>
    <w:rsid w:val="00683BF1"/>
    <w:rsid w:val="00687CA4"/>
    <w:rsid w:val="006971BB"/>
    <w:rsid w:val="006A6286"/>
    <w:rsid w:val="006C142D"/>
    <w:rsid w:val="006D16C6"/>
    <w:rsid w:val="006D417B"/>
    <w:rsid w:val="006E4214"/>
    <w:rsid w:val="006F1130"/>
    <w:rsid w:val="0070181A"/>
    <w:rsid w:val="007208EE"/>
    <w:rsid w:val="00733DA6"/>
    <w:rsid w:val="007638C8"/>
    <w:rsid w:val="007A69E3"/>
    <w:rsid w:val="007B5953"/>
    <w:rsid w:val="007D1A7E"/>
    <w:rsid w:val="007D203B"/>
    <w:rsid w:val="007E0F34"/>
    <w:rsid w:val="007E43C3"/>
    <w:rsid w:val="007F18C1"/>
    <w:rsid w:val="00812322"/>
    <w:rsid w:val="00820B0C"/>
    <w:rsid w:val="00846B63"/>
    <w:rsid w:val="008661C5"/>
    <w:rsid w:val="008879BE"/>
    <w:rsid w:val="00893014"/>
    <w:rsid w:val="008A3DB0"/>
    <w:rsid w:val="00916454"/>
    <w:rsid w:val="009223B6"/>
    <w:rsid w:val="00932795"/>
    <w:rsid w:val="0093496B"/>
    <w:rsid w:val="009704C3"/>
    <w:rsid w:val="00977F19"/>
    <w:rsid w:val="009927C1"/>
    <w:rsid w:val="00994E18"/>
    <w:rsid w:val="009C26F5"/>
    <w:rsid w:val="009E6560"/>
    <w:rsid w:val="00A17349"/>
    <w:rsid w:val="00A47173"/>
    <w:rsid w:val="00A53001"/>
    <w:rsid w:val="00A61F99"/>
    <w:rsid w:val="00A663D7"/>
    <w:rsid w:val="00A734A1"/>
    <w:rsid w:val="00A84017"/>
    <w:rsid w:val="00A92151"/>
    <w:rsid w:val="00AA6837"/>
    <w:rsid w:val="00AD5306"/>
    <w:rsid w:val="00AD589B"/>
    <w:rsid w:val="00AF6629"/>
    <w:rsid w:val="00B02B33"/>
    <w:rsid w:val="00B33D71"/>
    <w:rsid w:val="00B41A84"/>
    <w:rsid w:val="00B41FD4"/>
    <w:rsid w:val="00B6067E"/>
    <w:rsid w:val="00B905F3"/>
    <w:rsid w:val="00B92AAD"/>
    <w:rsid w:val="00BD1317"/>
    <w:rsid w:val="00BE7E45"/>
    <w:rsid w:val="00C12A99"/>
    <w:rsid w:val="00C31B87"/>
    <w:rsid w:val="00C53CDE"/>
    <w:rsid w:val="00C72782"/>
    <w:rsid w:val="00C738A1"/>
    <w:rsid w:val="00C815F0"/>
    <w:rsid w:val="00C915D1"/>
    <w:rsid w:val="00CA0C97"/>
    <w:rsid w:val="00CD6B5B"/>
    <w:rsid w:val="00CE457B"/>
    <w:rsid w:val="00CF0289"/>
    <w:rsid w:val="00D10416"/>
    <w:rsid w:val="00D16825"/>
    <w:rsid w:val="00D16B66"/>
    <w:rsid w:val="00D17C49"/>
    <w:rsid w:val="00D203BE"/>
    <w:rsid w:val="00D560A2"/>
    <w:rsid w:val="00D71E6C"/>
    <w:rsid w:val="00D859A9"/>
    <w:rsid w:val="00DA4AE5"/>
    <w:rsid w:val="00DD6002"/>
    <w:rsid w:val="00DE7311"/>
    <w:rsid w:val="00DF35E2"/>
    <w:rsid w:val="00E03F84"/>
    <w:rsid w:val="00E609D4"/>
    <w:rsid w:val="00E67361"/>
    <w:rsid w:val="00E700E7"/>
    <w:rsid w:val="00EF6768"/>
    <w:rsid w:val="00F01C6F"/>
    <w:rsid w:val="00F03D21"/>
    <w:rsid w:val="00F2724A"/>
    <w:rsid w:val="00F32C8D"/>
    <w:rsid w:val="00F735AC"/>
    <w:rsid w:val="00F75E23"/>
    <w:rsid w:val="00F81B97"/>
    <w:rsid w:val="00F830F0"/>
    <w:rsid w:val="00F85B32"/>
    <w:rsid w:val="00FB0C99"/>
    <w:rsid w:val="00FD5231"/>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3688337">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380252009">
      <w:bodyDiv w:val="1"/>
      <w:marLeft w:val="0"/>
      <w:marRight w:val="0"/>
      <w:marTop w:val="0"/>
      <w:marBottom w:val="0"/>
      <w:divBdr>
        <w:top w:val="none" w:sz="0" w:space="0" w:color="auto"/>
        <w:left w:val="none" w:sz="0" w:space="0" w:color="auto"/>
        <w:bottom w:val="none" w:sz="0" w:space="0" w:color="auto"/>
        <w:right w:val="none" w:sz="0" w:space="0" w:color="auto"/>
      </w:divBdr>
      <w:divsChild>
        <w:div w:id="1844126457">
          <w:marLeft w:val="0"/>
          <w:marRight w:val="0"/>
          <w:marTop w:val="0"/>
          <w:marBottom w:val="0"/>
          <w:divBdr>
            <w:top w:val="none" w:sz="0" w:space="0" w:color="auto"/>
            <w:left w:val="none" w:sz="0" w:space="0" w:color="auto"/>
            <w:bottom w:val="none" w:sz="0" w:space="0" w:color="auto"/>
            <w:right w:val="none" w:sz="0" w:space="0" w:color="auto"/>
          </w:divBdr>
        </w:div>
      </w:divsChild>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7796235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16011303">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1030754">
      <w:bodyDiv w:val="1"/>
      <w:marLeft w:val="0"/>
      <w:marRight w:val="0"/>
      <w:marTop w:val="0"/>
      <w:marBottom w:val="0"/>
      <w:divBdr>
        <w:top w:val="none" w:sz="0" w:space="0" w:color="auto"/>
        <w:left w:val="none" w:sz="0" w:space="0" w:color="auto"/>
        <w:bottom w:val="none" w:sz="0" w:space="0" w:color="auto"/>
        <w:right w:val="none" w:sz="0" w:space="0" w:color="auto"/>
      </w:divBdr>
      <w:divsChild>
        <w:div w:id="2036543259">
          <w:marLeft w:val="0"/>
          <w:marRight w:val="0"/>
          <w:marTop w:val="0"/>
          <w:marBottom w:val="0"/>
          <w:divBdr>
            <w:top w:val="none" w:sz="0" w:space="0" w:color="auto"/>
            <w:left w:val="none" w:sz="0" w:space="0" w:color="auto"/>
            <w:bottom w:val="none" w:sz="0" w:space="0" w:color="auto"/>
            <w:right w:val="none" w:sz="0" w:space="0" w:color="auto"/>
          </w:divBdr>
        </w:div>
      </w:divsChild>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201176">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0701878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90780303">
      <w:bodyDiv w:val="1"/>
      <w:marLeft w:val="0"/>
      <w:marRight w:val="0"/>
      <w:marTop w:val="0"/>
      <w:marBottom w:val="0"/>
      <w:divBdr>
        <w:top w:val="none" w:sz="0" w:space="0" w:color="auto"/>
        <w:left w:val="none" w:sz="0" w:space="0" w:color="auto"/>
        <w:bottom w:val="none" w:sz="0" w:space="0" w:color="auto"/>
        <w:right w:val="none" w:sz="0" w:space="0" w:color="auto"/>
      </w:divBdr>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23349486">
      <w:bodyDiv w:val="1"/>
      <w:marLeft w:val="0"/>
      <w:marRight w:val="0"/>
      <w:marTop w:val="0"/>
      <w:marBottom w:val="0"/>
      <w:divBdr>
        <w:top w:val="none" w:sz="0" w:space="0" w:color="auto"/>
        <w:left w:val="none" w:sz="0" w:space="0" w:color="auto"/>
        <w:bottom w:val="none" w:sz="0" w:space="0" w:color="auto"/>
        <w:right w:val="none" w:sz="0" w:space="0" w:color="auto"/>
      </w:divBdr>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05722720">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082672259">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9afc636b86&amp;e=12757307a1"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psnc.us7.list-manage.com/track/click?u=86d41ab7fa4c7c2c5d7210782&amp;id=b774bcfe37&amp;e=d3dc5e7fbd"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dc409a16c0&amp;e=12757307a1" TargetMode="External"/><Relationship Id="rId17" Type="http://schemas.openxmlformats.org/officeDocument/2006/relationships/hyperlink" Target="https://psnc.us7.list-manage.com/track/click?u=86d41ab7fa4c7c2c5d7210782&amp;id=9f085df2d1&amp;e=d3dc5e7fb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b6ed82aea2&amp;e=12757307a1"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psnc.us7.list-manage.com/track/click?u=86d41ab7fa4c7c2c5d7210782&amp;id=0719e3152f&amp;e=d3dc5e7fbd" TargetMode="External"/><Relationship Id="rId23"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b501b7d060&amp;e=12757307a1" TargetMode="External"/><Relationship Id="rId19" Type="http://schemas.openxmlformats.org/officeDocument/2006/relationships/hyperlink" Target="https://psnc.us7.list-manage.com/track/click?u=86d41ab7fa4c7c2c5d7210782&amp;id=3f47eea43b&amp;e=d3dc5e7fbd"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be55579b9f&amp;e=12757307a1" TargetMode="External"/><Relationship Id="rId14" Type="http://schemas.openxmlformats.org/officeDocument/2006/relationships/hyperlink" Target="https://psnc.us7.list-manage.com/track/click?u=86d41ab7fa4c7c2c5d7210782&amp;id=b671e78d7a&amp;e=d3dc5e7fbd"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3211</Words>
  <Characters>18309</Characters>
  <Application>Microsoft Office Word</Application>
  <DocSecurity>2</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2</cp:revision>
  <dcterms:created xsi:type="dcterms:W3CDTF">2021-04-22T13:47:00Z</dcterms:created>
  <dcterms:modified xsi:type="dcterms:W3CDTF">2021-04-22T13:47:00Z</dcterms:modified>
</cp:coreProperties>
</file>