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D6706D">
                          <w:rPr>
                            <w:noProof/>
                          </w:rPr>
                          <w:fldChar w:fldCharType="begin"/>
                        </w:r>
                        <w:r w:rsidR="00D6706D">
                          <w:rPr>
                            <w:noProof/>
                          </w:rPr>
                          <w:instrText xml:space="preserve"> </w:instrText>
                        </w:r>
                        <w:r w:rsidR="00D6706D">
                          <w:rPr>
                            <w:noProof/>
                          </w:rPr>
                          <w:instrText>INCLUDEPICTURE  "/var/folders/zq/_hgbfm5j5m929nsq7yq0snt00000gn/T/com.microsoft.Word/WebArchiveCopyPasteTempFiles/001d399a-96a4</w:instrText>
                        </w:r>
                        <w:r w:rsidR="00D6706D">
                          <w:rPr>
                            <w:noProof/>
                          </w:rPr>
                          <w:instrText>-4e1f-b905-a21d530b5d29.jpg" \* MERGEFORMATINET</w:instrText>
                        </w:r>
                        <w:r w:rsidR="00D6706D">
                          <w:rPr>
                            <w:noProof/>
                          </w:rPr>
                          <w:instrText xml:space="preserve"> </w:instrText>
                        </w:r>
                        <w:r w:rsidR="00D6706D">
                          <w:rPr>
                            <w:noProof/>
                          </w:rPr>
                          <w:fldChar w:fldCharType="separate"/>
                        </w:r>
                        <w:r w:rsidR="00D6706D">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D6706D">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157D0465" w:rsidR="002F42A7" w:rsidRPr="00DE6A3B" w:rsidRDefault="009D05A8"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Thur</w:t>
                        </w:r>
                        <w:r w:rsidR="00081308">
                          <w:rPr>
                            <w:rFonts w:ascii="Tahoma" w:hAnsi="Tahoma" w:cs="Tahoma"/>
                            <w:color w:val="93378A"/>
                            <w:sz w:val="30"/>
                            <w:szCs w:val="30"/>
                          </w:rPr>
                          <w:t>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9C5312">
                          <w:rPr>
                            <w:rFonts w:ascii="Tahoma" w:hAnsi="Tahoma" w:cs="Tahoma"/>
                            <w:color w:val="93378A"/>
                            <w:sz w:val="30"/>
                            <w:szCs w:val="30"/>
                          </w:rPr>
                          <w:t>2</w:t>
                        </w:r>
                        <w:r>
                          <w:rPr>
                            <w:rFonts w:ascii="Tahoma" w:hAnsi="Tahoma" w:cs="Tahoma"/>
                            <w:color w:val="93378A"/>
                            <w:sz w:val="30"/>
                            <w:szCs w:val="30"/>
                          </w:rPr>
                          <w:t>9</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D6706D">
                    <w:rPr>
                      <w:rFonts w:ascii="Helvetica" w:hAnsi="Helvetica"/>
                      <w:noProof/>
                      <w:color w:val="000000"/>
                      <w:sz w:val="18"/>
                      <w:szCs w:val="18"/>
                    </w:rPr>
                    <w:fldChar w:fldCharType="begin"/>
                  </w:r>
                  <w:r w:rsidR="00D6706D">
                    <w:rPr>
                      <w:rFonts w:ascii="Helvetica" w:hAnsi="Helvetica"/>
                      <w:noProof/>
                      <w:color w:val="000000"/>
                      <w:sz w:val="18"/>
                      <w:szCs w:val="18"/>
                    </w:rPr>
                    <w:instrText xml:space="preserve"> </w:instrText>
                  </w:r>
                  <w:r w:rsidR="00D6706D">
                    <w:rPr>
                      <w:rFonts w:ascii="Helvetica" w:hAnsi="Helvetica"/>
                      <w:noProof/>
                      <w:color w:val="000000"/>
                      <w:sz w:val="18"/>
                      <w:szCs w:val="18"/>
                    </w:rPr>
                    <w:instrText>INCLUDEPICTURE  "/var/folders/zq/_hgbfm5j5m929nsq7yq0snt00000gn/T/com.microsoft.Word/WebArchive</w:instrText>
                  </w:r>
                  <w:r w:rsidR="00D6706D">
                    <w:rPr>
                      <w:rFonts w:ascii="Helvetica" w:hAnsi="Helvetica"/>
                      <w:noProof/>
                      <w:color w:val="000000"/>
                      <w:sz w:val="18"/>
                      <w:szCs w:val="18"/>
                    </w:rPr>
                    <w:instrText>CopyPasteTempFiles/Newsletter-style-bar.png" \* MERGEFORMATINET</w:instrText>
                  </w:r>
                  <w:r w:rsidR="00D6706D">
                    <w:rPr>
                      <w:rFonts w:ascii="Helvetica" w:hAnsi="Helvetica"/>
                      <w:noProof/>
                      <w:color w:val="000000"/>
                      <w:sz w:val="18"/>
                      <w:szCs w:val="18"/>
                    </w:rPr>
                    <w:instrText xml:space="preserve"> </w:instrText>
                  </w:r>
                  <w:r w:rsidR="00D6706D">
                    <w:rPr>
                      <w:rFonts w:ascii="Helvetica" w:hAnsi="Helvetica"/>
                      <w:noProof/>
                      <w:color w:val="000000"/>
                      <w:sz w:val="18"/>
                      <w:szCs w:val="18"/>
                    </w:rPr>
                    <w:fldChar w:fldCharType="separate"/>
                  </w:r>
                  <w:r w:rsidR="00D6706D">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D6706D">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51"/>
                    <w:gridCol w:w="8699"/>
                    <w:gridCol w:w="150"/>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D6706D" w:rsidP="002907F7">
                        <w:pPr>
                          <w:rPr>
                            <w:rFonts w:ascii="Times New Roman" w:hAnsi="Times New Roman" w:cs="Times New Roman"/>
                          </w:rPr>
                        </w:pPr>
                        <w:r>
                          <w:rPr>
                            <w:noProof/>
                          </w:rPr>
                          <w:pict w14:anchorId="2BE0C096">
                            <v:rect id="_x0000_i1025" alt="" style="width:336pt;height:.05pt;mso-width-percent:0;mso-height-percent:0;mso-width-percent:0;mso-height-percent:0" o:hrpct="718"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tbl>
                        <w:tblPr>
                          <w:tblW w:w="8669" w:type="dxa"/>
                          <w:jc w:val="center"/>
                          <w:tblCellSpacing w:w="15" w:type="dxa"/>
                          <w:tblCellMar>
                            <w:left w:w="0" w:type="dxa"/>
                            <w:right w:w="0" w:type="dxa"/>
                          </w:tblCellMar>
                          <w:tblLook w:val="04A0" w:firstRow="1" w:lastRow="0" w:firstColumn="1" w:lastColumn="0" w:noHBand="0" w:noVBand="1"/>
                        </w:tblPr>
                        <w:tblGrid>
                          <w:gridCol w:w="8669"/>
                        </w:tblGrid>
                        <w:tr w:rsidR="00071CFB" w14:paraId="76D49C8D" w14:textId="77777777" w:rsidTr="009C5312">
                          <w:trPr>
                            <w:tblCellSpacing w:w="15" w:type="dxa"/>
                            <w:jc w:val="center"/>
                          </w:trPr>
                          <w:tc>
                            <w:tcPr>
                              <w:tcW w:w="8609" w:type="dxa"/>
                              <w:vAlign w:val="center"/>
                              <w:hideMark/>
                            </w:tcPr>
                            <w:p w14:paraId="15282B74" w14:textId="77777777" w:rsidR="009D05A8" w:rsidRDefault="009D05A8" w:rsidP="009D05A8">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IG Toolkit PSNC guidance available; C-19 vaccination health campaign; share feedback on C-19 test distribution service; MHRA drug safety update.</w:t>
                              </w:r>
                            </w:p>
                            <w:p w14:paraId="4117B36B" w14:textId="52895C9C" w:rsidR="009D05A8" w:rsidRDefault="009D05A8" w:rsidP="009D05A8">
                              <w:pPr>
                                <w:jc w:val="both"/>
                                <w:rPr>
                                  <w:rFonts w:ascii="Tahoma" w:hAnsi="Tahoma" w:cs="Tahoma"/>
                                  <w:color w:val="303030"/>
                                  <w:sz w:val="21"/>
                                  <w:szCs w:val="21"/>
                                </w:rPr>
                              </w:pPr>
                              <w:r>
                                <w:rPr>
                                  <w:rFonts w:ascii="Tahoma" w:hAnsi="Tahoma" w:cs="Tahoma"/>
                                  <w:color w:val="303030"/>
                                  <w:sz w:val="21"/>
                                  <w:szCs w:val="21"/>
                                </w:rPr>
                                <w:t> </w:t>
                              </w:r>
                            </w:p>
                            <w:p w14:paraId="7AB29D71" w14:textId="77777777" w:rsidR="009D05A8" w:rsidRDefault="009D05A8" w:rsidP="009D05A8">
                              <w:pPr>
                                <w:jc w:val="both"/>
                                <w:rPr>
                                  <w:rFonts w:ascii="Tahoma" w:hAnsi="Tahoma" w:cs="Tahoma"/>
                                  <w:color w:val="303030"/>
                                  <w:sz w:val="21"/>
                                  <w:szCs w:val="21"/>
                                </w:rPr>
                              </w:pPr>
                            </w:p>
                            <w:p w14:paraId="454AE524" w14:textId="77777777" w:rsidR="009D05A8" w:rsidRPr="009D05A8" w:rsidRDefault="009D05A8" w:rsidP="009D05A8">
                              <w:pPr>
                                <w:pStyle w:val="Heading3"/>
                                <w:spacing w:before="0" w:after="75" w:line="297" w:lineRule="atLeast"/>
                                <w:rPr>
                                  <w:rFonts w:ascii="Tahoma" w:hAnsi="Tahoma" w:cs="Tahoma"/>
                                  <w:b/>
                                  <w:bCs/>
                                  <w:color w:val="4E3487"/>
                                  <w:sz w:val="28"/>
                                  <w:szCs w:val="28"/>
                                </w:rPr>
                              </w:pPr>
                              <w:r w:rsidRPr="009D05A8">
                                <w:rPr>
                                  <w:rFonts w:ascii="Tahoma" w:hAnsi="Tahoma" w:cs="Tahoma"/>
                                  <w:b/>
                                  <w:bCs/>
                                  <w:color w:val="4E3487"/>
                                  <w:sz w:val="28"/>
                                  <w:szCs w:val="28"/>
                                </w:rPr>
                                <w:t>Data Security and Protection Toolkit: PSNC guidance docs now available</w:t>
                              </w:r>
                            </w:p>
                            <w:p w14:paraId="654564AD" w14:textId="77777777" w:rsidR="009D05A8" w:rsidRDefault="009D05A8" w:rsidP="009D05A8">
                              <w:pPr>
                                <w:pStyle w:val="NormalWeb"/>
                                <w:jc w:val="both"/>
                                <w:rPr>
                                  <w:rFonts w:ascii="Tahoma" w:hAnsi="Tahoma" w:cs="Tahoma"/>
                                  <w:color w:val="303030"/>
                                  <w:sz w:val="21"/>
                                  <w:szCs w:val="21"/>
                                </w:rPr>
                              </w:pPr>
                              <w:r>
                                <w:rPr>
                                  <w:rFonts w:ascii="Tahoma" w:hAnsi="Tahoma" w:cs="Tahoma"/>
                                  <w:color w:val="303030"/>
                                  <w:sz w:val="21"/>
                                  <w:szCs w:val="21"/>
                                </w:rPr>
                                <w:t>PSNC has published a suite of new guidance to assist community pharmacy contractors with completing the Data Security and Protection Toolkit for 2020/21. The Toolkit used to make a pharmacy’s information governance (IG) declaration must be completed </w:t>
                              </w:r>
                              <w:r>
                                <w:rPr>
                                  <w:rStyle w:val="Strong"/>
                                  <w:rFonts w:ascii="Tahoma" w:hAnsi="Tahoma" w:cs="Tahoma"/>
                                  <w:color w:val="303030"/>
                                  <w:sz w:val="21"/>
                                  <w:szCs w:val="21"/>
                                </w:rPr>
                                <w:t>by</w:t>
                              </w:r>
                              <w:r>
                                <w:rPr>
                                  <w:rFonts w:ascii="Tahoma" w:hAnsi="Tahoma" w:cs="Tahoma"/>
                                  <w:color w:val="303030"/>
                                  <w:sz w:val="21"/>
                                  <w:szCs w:val="21"/>
                                </w:rPr>
                                <w:t> </w:t>
                              </w:r>
                              <w:r>
                                <w:rPr>
                                  <w:rStyle w:val="Strong"/>
                                  <w:rFonts w:ascii="Tahoma" w:hAnsi="Tahoma" w:cs="Tahoma"/>
                                  <w:color w:val="303030"/>
                                  <w:sz w:val="21"/>
                                  <w:szCs w:val="21"/>
                                </w:rPr>
                                <w:t>30th June 2021</w:t>
                              </w:r>
                              <w:r>
                                <w:rPr>
                                  <w:rFonts w:ascii="Tahoma" w:hAnsi="Tahoma" w:cs="Tahoma"/>
                                  <w:color w:val="303030"/>
                                  <w:sz w:val="21"/>
                                  <w:szCs w:val="21"/>
                                </w:rPr>
                                <w:t>, but it is recommended that contractors do so as soon as possible.</w:t>
                              </w:r>
                            </w:p>
                            <w:p w14:paraId="32342F71" w14:textId="77777777" w:rsidR="009D05A8" w:rsidRDefault="009D05A8" w:rsidP="009D05A8">
                              <w:pPr>
                                <w:pStyle w:val="NormalWeb"/>
                                <w:rPr>
                                  <w:rFonts w:ascii="Tahoma" w:hAnsi="Tahoma" w:cs="Tahoma"/>
                                  <w:color w:val="303030"/>
                                  <w:sz w:val="21"/>
                                  <w:szCs w:val="21"/>
                                </w:rPr>
                              </w:pPr>
                              <w:r>
                                <w:rPr>
                                  <w:rFonts w:ascii="Tahoma" w:hAnsi="Tahoma" w:cs="Tahoma"/>
                                  <w:color w:val="303030"/>
                                  <w:sz w:val="21"/>
                                  <w:szCs w:val="21"/>
                                </w:rPr>
                                <w:t>PSNC has collaborated with NHS Digital and PMR suppliers to keep the workload for the Toolkit manageable but the data security protections appropriate. Whilst there are some new mandatory questions, many of the changes for this year have been to improve the wording or otherwise simplify questions. The Headquarters batch submission feature, which enables contractors that own three or more pharmacies to complete a single submission for all their premises, has also been improved.</w:t>
                              </w:r>
                              <w:r>
                                <w:rPr>
                                  <w:rFonts w:ascii="Tahoma" w:hAnsi="Tahoma" w:cs="Tahoma"/>
                                  <w:color w:val="303030"/>
                                  <w:sz w:val="21"/>
                                  <w:szCs w:val="21"/>
                                </w:rPr>
                                <w:br/>
                              </w:r>
                              <w:r>
                                <w:rPr>
                                  <w:rFonts w:ascii="Tahoma" w:hAnsi="Tahoma" w:cs="Tahoma"/>
                                  <w:color w:val="303030"/>
                                  <w:sz w:val="21"/>
                                  <w:szCs w:val="21"/>
                                </w:rPr>
                                <w:br/>
                                <w:t>PSNC recommends that contractors log in to the Toolkit now, begin looking through our guidance documents - starting with the</w:t>
                              </w:r>
                              <w:r>
                                <w:rPr>
                                  <w:rStyle w:val="apple-converted-space"/>
                                  <w:rFonts w:ascii="Tahoma" w:hAnsi="Tahoma" w:cs="Tahoma"/>
                                  <w:color w:val="303030"/>
                                  <w:sz w:val="21"/>
                                  <w:szCs w:val="21"/>
                                </w:rPr>
                                <w:t> </w:t>
                              </w:r>
                              <w:hyperlink r:id="rId9" w:tgtFrame="_blank" w:history="1">
                                <w:r>
                                  <w:rPr>
                                    <w:rStyle w:val="Hyperlink"/>
                                    <w:rFonts w:ascii="Tahoma" w:hAnsi="Tahoma" w:cs="Tahoma"/>
                                    <w:b/>
                                    <w:bCs/>
                                    <w:color w:val="4E3487"/>
                                    <w:sz w:val="21"/>
                                    <w:szCs w:val="21"/>
                                  </w:rPr>
                                  <w:t>Toolkit completion: Overview: Five steps guide</w:t>
                                </w:r>
                              </w:hyperlink>
                              <w:r>
                                <w:rPr>
                                  <w:rFonts w:ascii="Tahoma" w:hAnsi="Tahoma" w:cs="Tahoma"/>
                                  <w:color w:val="303030"/>
                                  <w:sz w:val="21"/>
                                  <w:szCs w:val="21"/>
                                </w:rPr>
                                <w:t> and, time allowing, begin to fill in the Toolkit using the additional question-by-question guidance.</w:t>
                              </w:r>
                              <w:r>
                                <w:rPr>
                                  <w:rFonts w:ascii="Tahoma" w:hAnsi="Tahoma" w:cs="Tahoma"/>
                                  <w:color w:val="303030"/>
                                  <w:sz w:val="21"/>
                                  <w:szCs w:val="21"/>
                                </w:rPr>
                                <w:br/>
                              </w:r>
                              <w:r>
                                <w:rPr>
                                  <w:rFonts w:ascii="Tahoma" w:hAnsi="Tahoma" w:cs="Tahoma"/>
                                  <w:color w:val="303030"/>
                                  <w:sz w:val="21"/>
                                  <w:szCs w:val="21"/>
                                </w:rPr>
                                <w:br/>
                                <w:t>PSNC’s</w:t>
                              </w:r>
                              <w:r>
                                <w:rPr>
                                  <w:rStyle w:val="apple-converted-space"/>
                                  <w:rFonts w:ascii="Tahoma" w:hAnsi="Tahoma" w:cs="Tahoma"/>
                                  <w:color w:val="303030"/>
                                  <w:sz w:val="21"/>
                                  <w:szCs w:val="21"/>
                                </w:rPr>
                                <w:t> </w:t>
                              </w:r>
                              <w:hyperlink r:id="rId10" w:tgtFrame="_blank" w:history="1">
                                <w:r>
                                  <w:rPr>
                                    <w:rStyle w:val="Hyperlink"/>
                                    <w:rFonts w:ascii="Tahoma" w:hAnsi="Tahoma" w:cs="Tahoma"/>
                                    <w:b/>
                                    <w:bCs/>
                                    <w:color w:val="4E3487"/>
                                    <w:sz w:val="21"/>
                                    <w:szCs w:val="21"/>
                                  </w:rPr>
                                  <w:t>data security hub</w:t>
                                </w:r>
                              </w:hyperlink>
                              <w:r>
                                <w:rPr>
                                  <w:rStyle w:val="apple-converted-space"/>
                                  <w:rFonts w:ascii="Tahoma" w:hAnsi="Tahoma" w:cs="Tahoma"/>
                                  <w:color w:val="303030"/>
                                  <w:sz w:val="21"/>
                                  <w:szCs w:val="21"/>
                                </w:rPr>
                                <w:t> </w:t>
                              </w:r>
                              <w:r>
                                <w:rPr>
                                  <w:rFonts w:ascii="Tahoma" w:hAnsi="Tahoma" w:cs="Tahoma"/>
                                  <w:color w:val="303030"/>
                                  <w:sz w:val="21"/>
                                  <w:szCs w:val="21"/>
                                </w:rPr>
                                <w:t>and templates and policies have also been updated to align with the new toolkit and the ongoing COVID-19 pandemic.</w:t>
                              </w:r>
                            </w:p>
                            <w:p w14:paraId="170CDFCA" w14:textId="77777777" w:rsidR="009D05A8" w:rsidRDefault="009D05A8" w:rsidP="009D05A8">
                              <w:pPr>
                                <w:pStyle w:val="NormalWeb"/>
                                <w:jc w:val="both"/>
                                <w:rPr>
                                  <w:rFonts w:ascii="Tahoma" w:hAnsi="Tahoma" w:cs="Tahoma"/>
                                  <w:color w:val="303030"/>
                                  <w:sz w:val="21"/>
                                  <w:szCs w:val="21"/>
                                </w:rPr>
                              </w:pPr>
                              <w:hyperlink r:id="rId11" w:tgtFrame="_blank" w:history="1">
                                <w:r>
                                  <w:rPr>
                                    <w:rStyle w:val="Hyperlink"/>
                                    <w:rFonts w:ascii="Tahoma" w:hAnsi="Tahoma" w:cs="Tahoma"/>
                                    <w:b/>
                                    <w:bCs/>
                                    <w:color w:val="4E3487"/>
                                    <w:sz w:val="21"/>
                                    <w:szCs w:val="21"/>
                                  </w:rPr>
                                  <w:t>Downloa</w:t>
                                </w:r>
                                <w:r>
                                  <w:rPr>
                                    <w:rStyle w:val="Hyperlink"/>
                                    <w:rFonts w:ascii="Tahoma" w:hAnsi="Tahoma" w:cs="Tahoma"/>
                                    <w:b/>
                                    <w:bCs/>
                                    <w:color w:val="4E3487"/>
                                    <w:sz w:val="21"/>
                                    <w:szCs w:val="21"/>
                                  </w:rPr>
                                  <w:t>d</w:t>
                                </w:r>
                                <w:r>
                                  <w:rPr>
                                    <w:rStyle w:val="Hyperlink"/>
                                    <w:rFonts w:ascii="Tahoma" w:hAnsi="Tahoma" w:cs="Tahoma"/>
                                    <w:b/>
                                    <w:bCs/>
                                    <w:color w:val="4E3487"/>
                                    <w:sz w:val="21"/>
                                    <w:szCs w:val="21"/>
                                  </w:rPr>
                                  <w:t xml:space="preserve"> PSNC's IG Toolkit guidance</w:t>
                                </w:r>
                              </w:hyperlink>
                            </w:p>
                            <w:p w14:paraId="3F3AEC55" w14:textId="77777777" w:rsidR="009D05A8" w:rsidRDefault="009D05A8" w:rsidP="009D05A8">
                              <w:pPr>
                                <w:pStyle w:val="Heading3"/>
                                <w:spacing w:before="0" w:after="75" w:line="297" w:lineRule="atLeast"/>
                                <w:rPr>
                                  <w:rFonts w:ascii="Tahoma" w:hAnsi="Tahoma" w:cs="Tahoma"/>
                                  <w:b/>
                                  <w:bCs/>
                                  <w:color w:val="4E3487"/>
                                  <w:sz w:val="28"/>
                                  <w:szCs w:val="28"/>
                                </w:rPr>
                              </w:pPr>
                            </w:p>
                            <w:p w14:paraId="63F204C6" w14:textId="781E58A0" w:rsidR="009D05A8" w:rsidRPr="009D05A8" w:rsidRDefault="009D05A8" w:rsidP="009D05A8">
                              <w:pPr>
                                <w:pStyle w:val="Heading3"/>
                                <w:spacing w:before="0" w:after="75" w:line="297" w:lineRule="atLeast"/>
                                <w:rPr>
                                  <w:rFonts w:ascii="Tahoma" w:hAnsi="Tahoma" w:cs="Tahoma"/>
                                  <w:b/>
                                  <w:bCs/>
                                  <w:color w:val="4E3487"/>
                                  <w:sz w:val="28"/>
                                  <w:szCs w:val="28"/>
                                </w:rPr>
                              </w:pPr>
                              <w:r w:rsidRPr="009D05A8">
                                <w:rPr>
                                  <w:rFonts w:ascii="Tahoma" w:hAnsi="Tahoma" w:cs="Tahoma"/>
                                  <w:b/>
                                  <w:bCs/>
                                  <w:color w:val="4E3487"/>
                                  <w:sz w:val="28"/>
                                  <w:szCs w:val="28"/>
                                </w:rPr>
                                <w:t>First mandated health campaign of 2021/22: C-19 vaccination</w:t>
                              </w:r>
                            </w:p>
                            <w:p w14:paraId="56AE0934" w14:textId="77777777" w:rsidR="009D05A8" w:rsidRDefault="009D05A8" w:rsidP="009D05A8">
                              <w:pPr>
                                <w:pStyle w:val="NormalWeb"/>
                                <w:jc w:val="both"/>
                                <w:rPr>
                                  <w:rFonts w:ascii="Tahoma" w:hAnsi="Tahoma" w:cs="Tahoma"/>
                                  <w:color w:val="303030"/>
                                  <w:sz w:val="21"/>
                                  <w:szCs w:val="21"/>
                                </w:rPr>
                              </w:pPr>
                              <w:r>
                                <w:rPr>
                                  <w:rFonts w:ascii="Tahoma" w:hAnsi="Tahoma" w:cs="Tahoma"/>
                                  <w:color w:val="303030"/>
                                  <w:sz w:val="21"/>
                                  <w:szCs w:val="21"/>
                                </w:rPr>
                                <w:t>NHS England and NHS Improvement (NHSE&amp;I) and PSNC have agreed that contractors will be asked to participate in a COVID-19 vaccination campaign as the first mandated health campaign for 2021/22, which contractors</w:t>
                              </w:r>
                              <w:r>
                                <w:rPr>
                                  <w:rStyle w:val="apple-converted-space"/>
                                  <w:rFonts w:ascii="Tahoma" w:hAnsi="Tahoma" w:cs="Tahoma"/>
                                  <w:color w:val="303030"/>
                                  <w:sz w:val="21"/>
                                  <w:szCs w:val="21"/>
                                </w:rPr>
                                <w:t> </w:t>
                              </w:r>
                              <w:r>
                                <w:rPr>
                                  <w:rStyle w:val="Strong"/>
                                  <w:rFonts w:ascii="Tahoma" w:hAnsi="Tahoma" w:cs="Tahoma"/>
                                  <w:color w:val="303030"/>
                                  <w:sz w:val="21"/>
                                  <w:szCs w:val="21"/>
                                </w:rPr>
                                <w:t>must</w:t>
                              </w:r>
                              <w:r>
                                <w:rPr>
                                  <w:rStyle w:val="apple-converted-space"/>
                                  <w:rFonts w:ascii="Tahoma" w:hAnsi="Tahoma" w:cs="Tahoma"/>
                                  <w:color w:val="303030"/>
                                  <w:sz w:val="21"/>
                                  <w:szCs w:val="21"/>
                                </w:rPr>
                                <w:t> </w:t>
                              </w:r>
                              <w:r>
                                <w:rPr>
                                  <w:rFonts w:ascii="Tahoma" w:hAnsi="Tahoma" w:cs="Tahoma"/>
                                  <w:color w:val="303030"/>
                                  <w:sz w:val="21"/>
                                  <w:szCs w:val="21"/>
                                </w:rPr>
                                <w:t>undertake as part of their NHS contractual requirements.</w:t>
                              </w:r>
                            </w:p>
                            <w:p w14:paraId="6DA3F198" w14:textId="77777777" w:rsidR="009D05A8" w:rsidRDefault="009D05A8" w:rsidP="009D05A8">
                              <w:pPr>
                                <w:pStyle w:val="NormalWeb"/>
                                <w:rPr>
                                  <w:rFonts w:ascii="Tahoma" w:hAnsi="Tahoma" w:cs="Tahoma"/>
                                  <w:color w:val="303030"/>
                                  <w:sz w:val="21"/>
                                  <w:szCs w:val="21"/>
                                </w:rPr>
                              </w:pPr>
                              <w:r>
                                <w:rPr>
                                  <w:rFonts w:ascii="Tahoma" w:hAnsi="Tahoma" w:cs="Tahoma"/>
                                  <w:color w:val="303030"/>
                                  <w:sz w:val="21"/>
                                  <w:szCs w:val="21"/>
                                </w:rPr>
                                <w:lastRenderedPageBreak/>
                                <w:t>This will form part of the recently launched ‘Join the Millions’ national advertising campaign, informing the public about the vaccine and encouraging people to take it up when it is offered to them. The campaign materials are due to arrive in pharmacies in mid-May.</w:t>
                              </w:r>
                            </w:p>
                            <w:p w14:paraId="45784F07" w14:textId="77777777" w:rsidR="009D05A8" w:rsidRDefault="009D05A8" w:rsidP="009D05A8">
                              <w:pPr>
                                <w:pStyle w:val="NormalWeb"/>
                                <w:jc w:val="both"/>
                                <w:rPr>
                                  <w:rFonts w:ascii="Tahoma" w:hAnsi="Tahoma" w:cs="Tahoma"/>
                                  <w:color w:val="303030"/>
                                  <w:sz w:val="21"/>
                                  <w:szCs w:val="21"/>
                                </w:rPr>
                              </w:pPr>
                              <w:hyperlink r:id="rId12" w:tgtFrame="_blank" w:history="1">
                                <w:r>
                                  <w:rPr>
                                    <w:rStyle w:val="Hyperlink"/>
                                    <w:rFonts w:ascii="Tahoma" w:hAnsi="Tahoma" w:cs="Tahoma"/>
                                    <w:b/>
                                    <w:bCs/>
                                    <w:color w:val="4E3487"/>
                                    <w:sz w:val="21"/>
                                    <w:szCs w:val="21"/>
                                  </w:rPr>
                                  <w:t>Learn more about the mandatory health campaign</w:t>
                                </w:r>
                              </w:hyperlink>
                            </w:p>
                            <w:p w14:paraId="337C8E4B" w14:textId="77777777" w:rsidR="009D05A8" w:rsidRPr="009D05A8" w:rsidRDefault="009D05A8" w:rsidP="009D05A8">
                              <w:pPr>
                                <w:pStyle w:val="Heading3"/>
                                <w:spacing w:before="0" w:after="75" w:line="297" w:lineRule="atLeast"/>
                                <w:rPr>
                                  <w:rFonts w:ascii="Tahoma" w:hAnsi="Tahoma" w:cs="Tahoma"/>
                                  <w:b/>
                                  <w:bCs/>
                                  <w:color w:val="4E3487"/>
                                  <w:sz w:val="28"/>
                                  <w:szCs w:val="28"/>
                                </w:rPr>
                              </w:pPr>
                              <w:r w:rsidRPr="009D05A8">
                                <w:rPr>
                                  <w:rFonts w:ascii="Tahoma" w:hAnsi="Tahoma" w:cs="Tahoma"/>
                                  <w:b/>
                                  <w:bCs/>
                                  <w:color w:val="4E3487"/>
                                  <w:sz w:val="28"/>
                                  <w:szCs w:val="28"/>
                                </w:rPr>
                                <w:t>Share your views with NHS Test &amp; Trace on the C-19 test distribution service</w:t>
                              </w:r>
                            </w:p>
                            <w:p w14:paraId="4C6BA96A" w14:textId="77777777" w:rsidR="009D05A8" w:rsidRDefault="009D05A8" w:rsidP="009D05A8">
                              <w:pPr>
                                <w:pStyle w:val="NormalWeb"/>
                                <w:jc w:val="both"/>
                                <w:rPr>
                                  <w:rFonts w:ascii="Tahoma" w:hAnsi="Tahoma" w:cs="Tahoma"/>
                                  <w:color w:val="303030"/>
                                  <w:sz w:val="21"/>
                                  <w:szCs w:val="21"/>
                                </w:rPr>
                              </w:pPr>
                              <w:r>
                                <w:rPr>
                                  <w:rFonts w:ascii="Tahoma" w:hAnsi="Tahoma" w:cs="Tahoma"/>
                                  <w:color w:val="303030"/>
                                  <w:sz w:val="21"/>
                                  <w:szCs w:val="21"/>
                                </w:rPr>
                                <w:t>NHS Test and Trace would like to hear feedback from community pharmacy teams delivering the COVID-19 lateral flow device distribution service (Pharmacy Collect). Pharmacy teams are therefore encouraged to share their views in a short survey, which will take around 10 minutes to complete.</w:t>
                              </w:r>
                            </w:p>
                            <w:p w14:paraId="594F1D00" w14:textId="77777777" w:rsidR="009D05A8" w:rsidRDefault="009D05A8" w:rsidP="009D05A8">
                              <w:pPr>
                                <w:pStyle w:val="NormalWeb"/>
                                <w:jc w:val="both"/>
                                <w:rPr>
                                  <w:rFonts w:ascii="Tahoma" w:hAnsi="Tahoma" w:cs="Tahoma"/>
                                  <w:color w:val="303030"/>
                                  <w:sz w:val="21"/>
                                  <w:szCs w:val="21"/>
                                </w:rPr>
                              </w:pPr>
                              <w:r>
                                <w:rPr>
                                  <w:rFonts w:ascii="Tahoma" w:hAnsi="Tahoma" w:cs="Tahoma"/>
                                  <w:color w:val="303030"/>
                                  <w:sz w:val="21"/>
                                  <w:szCs w:val="21"/>
                                </w:rPr>
                                <w:t>The purpose of the survey is to understand pharmacy teams' views and experiences to inform discussions on potential improvements to the service.</w:t>
                              </w:r>
                            </w:p>
                            <w:p w14:paraId="4B186C81" w14:textId="77777777" w:rsidR="009D05A8" w:rsidRDefault="009D05A8" w:rsidP="009D05A8">
                              <w:pPr>
                                <w:pStyle w:val="NormalWeb"/>
                                <w:jc w:val="both"/>
                                <w:rPr>
                                  <w:rFonts w:ascii="Tahoma" w:hAnsi="Tahoma" w:cs="Tahoma"/>
                                  <w:color w:val="303030"/>
                                  <w:sz w:val="21"/>
                                  <w:szCs w:val="21"/>
                                </w:rPr>
                              </w:pPr>
                              <w:hyperlink r:id="rId13" w:tgtFrame="_blank" w:history="1">
                                <w:r>
                                  <w:rPr>
                                    <w:rStyle w:val="Hyperlink"/>
                                    <w:rFonts w:ascii="Tahoma" w:hAnsi="Tahoma" w:cs="Tahoma"/>
                                    <w:b/>
                                    <w:bCs/>
                                    <w:color w:val="4E3487"/>
                                    <w:sz w:val="21"/>
                                    <w:szCs w:val="21"/>
                                  </w:rPr>
                                  <w:t>Complete the survey</w:t>
                                </w:r>
                              </w:hyperlink>
                            </w:p>
                            <w:p w14:paraId="03077319" w14:textId="77777777" w:rsidR="009D05A8" w:rsidRPr="009D05A8" w:rsidRDefault="009D05A8" w:rsidP="009D05A8">
                              <w:pPr>
                                <w:pStyle w:val="Heading3"/>
                                <w:spacing w:before="0" w:after="75" w:line="297" w:lineRule="atLeast"/>
                                <w:rPr>
                                  <w:rFonts w:ascii="Tahoma" w:hAnsi="Tahoma" w:cs="Tahoma"/>
                                  <w:b/>
                                  <w:bCs/>
                                  <w:color w:val="4E3487"/>
                                  <w:sz w:val="28"/>
                                  <w:szCs w:val="28"/>
                                </w:rPr>
                              </w:pPr>
                              <w:r w:rsidRPr="009D05A8">
                                <w:rPr>
                                  <w:rFonts w:ascii="Tahoma" w:hAnsi="Tahoma" w:cs="Tahoma"/>
                                  <w:b/>
                                  <w:bCs/>
                                  <w:color w:val="4E3487"/>
                                  <w:sz w:val="28"/>
                                  <w:szCs w:val="28"/>
                                </w:rPr>
                                <w:t>MHRA drug safety update</w:t>
                              </w:r>
                            </w:p>
                            <w:p w14:paraId="4FD73E94" w14:textId="77777777" w:rsidR="009D05A8" w:rsidRDefault="009D05A8" w:rsidP="009D05A8">
                              <w:pPr>
                                <w:pStyle w:val="NormalWeb"/>
                                <w:rPr>
                                  <w:rFonts w:ascii="Tahoma" w:hAnsi="Tahoma" w:cs="Tahoma"/>
                                  <w:color w:val="303030"/>
                                  <w:sz w:val="21"/>
                                  <w:szCs w:val="21"/>
                                </w:rPr>
                              </w:pPr>
                              <w:r>
                                <w:rPr>
                                  <w:rFonts w:ascii="Tahoma" w:hAnsi="Tahoma" w:cs="Tahoma"/>
                                  <w:color w:val="303030"/>
                                  <w:sz w:val="21"/>
                                  <w:szCs w:val="21"/>
                                </w:rPr>
                                <w:t>A new Medicines and Healthcare products Regulatory Agency (MHRA) Drug Safety Update has been published, including articles on </w:t>
                              </w:r>
                              <w:r>
                                <w:rPr>
                                  <w:rStyle w:val="Strong"/>
                                  <w:rFonts w:ascii="Tahoma" w:hAnsi="Tahoma" w:cs="Tahoma"/>
                                  <w:color w:val="303030"/>
                                  <w:sz w:val="21"/>
                                  <w:szCs w:val="21"/>
                                </w:rPr>
                                <w:t>Polyethylene glycol </w:t>
                              </w:r>
                              <w:r>
                                <w:rPr>
                                  <w:rFonts w:ascii="Tahoma" w:hAnsi="Tahoma" w:cs="Tahoma"/>
                                  <w:color w:val="303030"/>
                                  <w:sz w:val="21"/>
                                  <w:szCs w:val="21"/>
                                </w:rPr>
                                <w:t>laxatives and starch-based thickeners and </w:t>
                              </w:r>
                              <w:r>
                                <w:rPr>
                                  <w:rStyle w:val="Strong"/>
                                  <w:rFonts w:ascii="Tahoma" w:hAnsi="Tahoma" w:cs="Tahoma"/>
                                  <w:color w:val="303030"/>
                                  <w:sz w:val="21"/>
                                  <w:szCs w:val="21"/>
                                </w:rPr>
                                <w:t>C-19 vaccines and medicines.</w:t>
                              </w:r>
                            </w:p>
                            <w:p w14:paraId="2D7EDC42" w14:textId="046E1ED5" w:rsidR="00071CFB" w:rsidRPr="009D05A8" w:rsidRDefault="009D05A8" w:rsidP="009D05A8">
                              <w:pPr>
                                <w:rPr>
                                  <w:rFonts w:ascii="Times New Roman" w:hAnsi="Times New Roman" w:cs="Times New Roman"/>
                                </w:rPr>
                              </w:pPr>
                              <w:hyperlink r:id="rId14" w:tgtFrame="_blank" w:history="1">
                                <w:r>
                                  <w:rPr>
                                    <w:rStyle w:val="Hyperlink"/>
                                    <w:rFonts w:ascii="Tahoma" w:hAnsi="Tahoma" w:cs="Tahoma"/>
                                    <w:b/>
                                    <w:bCs/>
                                    <w:color w:val="4E3487"/>
                                    <w:sz w:val="21"/>
                                    <w:szCs w:val="21"/>
                                  </w:rPr>
                                  <w:t>Read the full MHRA update</w:t>
                                </w:r>
                              </w:hyperlink>
                            </w:p>
                          </w:tc>
                        </w:tr>
                      </w:tbl>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5"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4"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D6706D"/>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01211A"/>
    <w:multiLevelType w:val="multilevel"/>
    <w:tmpl w:val="32B0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205C1"/>
    <w:multiLevelType w:val="multilevel"/>
    <w:tmpl w:val="D620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7"/>
  </w:num>
  <w:num w:numId="4">
    <w:abstractNumId w:val="15"/>
  </w:num>
  <w:num w:numId="5">
    <w:abstractNumId w:val="3"/>
  </w:num>
  <w:num w:numId="6">
    <w:abstractNumId w:val="13"/>
  </w:num>
  <w:num w:numId="7">
    <w:abstractNumId w:val="12"/>
  </w:num>
  <w:num w:numId="8">
    <w:abstractNumId w:val="7"/>
  </w:num>
  <w:num w:numId="9">
    <w:abstractNumId w:val="14"/>
  </w:num>
  <w:num w:numId="10">
    <w:abstractNumId w:val="19"/>
  </w:num>
  <w:num w:numId="11">
    <w:abstractNumId w:val="8"/>
  </w:num>
  <w:num w:numId="12">
    <w:abstractNumId w:val="25"/>
  </w:num>
  <w:num w:numId="13">
    <w:abstractNumId w:val="4"/>
  </w:num>
  <w:num w:numId="14">
    <w:abstractNumId w:val="26"/>
  </w:num>
  <w:num w:numId="15">
    <w:abstractNumId w:val="29"/>
  </w:num>
  <w:num w:numId="16">
    <w:abstractNumId w:val="21"/>
  </w:num>
  <w:num w:numId="17">
    <w:abstractNumId w:val="23"/>
  </w:num>
  <w:num w:numId="18">
    <w:abstractNumId w:val="1"/>
  </w:num>
  <w:num w:numId="19">
    <w:abstractNumId w:val="9"/>
  </w:num>
  <w:num w:numId="20">
    <w:abstractNumId w:val="30"/>
  </w:num>
  <w:num w:numId="21">
    <w:abstractNumId w:val="18"/>
  </w:num>
  <w:num w:numId="22">
    <w:abstractNumId w:val="2"/>
  </w:num>
  <w:num w:numId="23">
    <w:abstractNumId w:val="16"/>
  </w:num>
  <w:num w:numId="24">
    <w:abstractNumId w:val="17"/>
  </w:num>
  <w:num w:numId="25">
    <w:abstractNumId w:val="20"/>
  </w:num>
  <w:num w:numId="26">
    <w:abstractNumId w:val="24"/>
  </w:num>
  <w:num w:numId="27">
    <w:abstractNumId w:val="6"/>
  </w:num>
  <w:num w:numId="28">
    <w:abstractNumId w:val="28"/>
  </w:num>
  <w:num w:numId="29">
    <w:abstractNumId w:val="10"/>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81308"/>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0181A"/>
    <w:rsid w:val="007208EE"/>
    <w:rsid w:val="00733DA6"/>
    <w:rsid w:val="007638C8"/>
    <w:rsid w:val="007A69E3"/>
    <w:rsid w:val="007B5953"/>
    <w:rsid w:val="007D1A7E"/>
    <w:rsid w:val="007D203B"/>
    <w:rsid w:val="007E0F34"/>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B3110"/>
    <w:rsid w:val="009C26F5"/>
    <w:rsid w:val="009C5312"/>
    <w:rsid w:val="009D05A8"/>
    <w:rsid w:val="009E6560"/>
    <w:rsid w:val="00A17349"/>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D1317"/>
    <w:rsid w:val="00BE7E45"/>
    <w:rsid w:val="00C12A99"/>
    <w:rsid w:val="00C31B87"/>
    <w:rsid w:val="00C53CDE"/>
    <w:rsid w:val="00C72782"/>
    <w:rsid w:val="00C738A1"/>
    <w:rsid w:val="00C815F0"/>
    <w:rsid w:val="00C915D1"/>
    <w:rsid w:val="00CA0C97"/>
    <w:rsid w:val="00CD6B5B"/>
    <w:rsid w:val="00CE457B"/>
    <w:rsid w:val="00CF0289"/>
    <w:rsid w:val="00D10416"/>
    <w:rsid w:val="00D16825"/>
    <w:rsid w:val="00D16B66"/>
    <w:rsid w:val="00D17C49"/>
    <w:rsid w:val="00D203BE"/>
    <w:rsid w:val="00D560A2"/>
    <w:rsid w:val="00D6706D"/>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11870683">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27332960">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1893605">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895117218">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91fc296346&amp;e=12757307a1" TargetMode="External"/><Relationship Id="rId18" Type="http://schemas.openxmlformats.org/officeDocument/2006/relationships/hyperlink" Target="https://psnc.us7.list-manage.com/track/click?u=86d41ab7fa4c7c2c5d7210782&amp;id=9f085df2d1&amp;e=d3dc5e7fb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psnc.us7.list-manage.com/track/click?u=86d41ab7fa4c7c2c5d7210782&amp;id=8b3be19bd7&amp;e=12757307a1"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0719e3152f&amp;e=d3dc5e7fbd" TargetMode="External"/><Relationship Id="rId20" Type="http://schemas.openxmlformats.org/officeDocument/2006/relationships/hyperlink" Target="https://psnc.us7.list-manage.com/track/click?u=86d41ab7fa4c7c2c5d7210782&amp;id=3f47eea43b&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b8c89e0aeb&amp;e=12757307a1" TargetMode="External"/><Relationship Id="rId24" Type="http://schemas.openxmlformats.org/officeDocument/2006/relationships/hyperlink" Target="mailto:info@psnc.org.uk"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b671e78d7a&amp;e=d3dc5e7fbd" TargetMode="External"/><Relationship Id="rId23" Type="http://schemas.openxmlformats.org/officeDocument/2006/relationships/image" Target="media/image6.png"/><Relationship Id="rId10" Type="http://schemas.openxmlformats.org/officeDocument/2006/relationships/hyperlink" Target="https://psnc.us7.list-manage.com/track/click?u=86d41ab7fa4c7c2c5d7210782&amp;id=36e266d1ad&amp;e=12757307a1"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dadb01071b&amp;e=12757307a1" TargetMode="External"/><Relationship Id="rId14" Type="http://schemas.openxmlformats.org/officeDocument/2006/relationships/hyperlink" Target="https://psnc.us7.list-manage.com/track/click?u=86d41ab7fa4c7c2c5d7210782&amp;id=c2bc54a74d&amp;e=12757307a1" TargetMode="External"/><Relationship Id="rId22" Type="http://schemas.openxmlformats.org/officeDocument/2006/relationships/hyperlink" Target="https://psnc.us7.list-manage.com/track/click?u=86d41ab7fa4c7c2c5d7210782&amp;id=b774bcfe37&amp;e=d3dc5e7f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3094</Words>
  <Characters>17639</Characters>
  <Application>Microsoft Office Word</Application>
  <DocSecurity>2</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2021-05-01T00:35:00Z</dcterms:created>
  <dcterms:modified xsi:type="dcterms:W3CDTF">2021-05-01T00:35:00Z</dcterms:modified>
</cp:coreProperties>
</file>