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97721" w14:paraId="464AFD37" w14:textId="77777777" w:rsidTr="00197721">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97721" w14:paraId="421E336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97721" w14:paraId="52284B78" w14:textId="77777777">
                    <w:trPr>
                      <w:tblCellSpacing w:w="0" w:type="dxa"/>
                      <w:jc w:val="center"/>
                    </w:trPr>
                    <w:tc>
                      <w:tcPr>
                        <w:tcW w:w="3000" w:type="dxa"/>
                        <w:hideMark/>
                      </w:tcPr>
                      <w:p w14:paraId="5815AA04" w14:textId="17B1E854" w:rsidR="00197721" w:rsidRDefault="00197721" w:rsidP="00197721">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EE429A3" w14:textId="77777777" w:rsidR="00197721" w:rsidRDefault="00197721">
                  <w:pPr>
                    <w:jc w:val="center"/>
                    <w:rPr>
                      <w:rFonts w:ascii="Times New Roman" w:eastAsia="Times New Roman" w:hAnsi="Times New Roman" w:cs="Times New Roman"/>
                      <w:sz w:val="20"/>
                      <w:szCs w:val="20"/>
                    </w:rPr>
                  </w:pPr>
                </w:p>
              </w:tc>
            </w:tr>
          </w:tbl>
          <w:p w14:paraId="1BA69A29" w14:textId="77777777" w:rsidR="00197721" w:rsidRDefault="00197721">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97721" w14:paraId="521C5579"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97721" w14:paraId="5C3625A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174E305" w14:textId="4D3D2C19" w:rsidR="00197721" w:rsidRDefault="00197721">
                        <w:pPr>
                          <w:jc w:val="center"/>
                          <w:rPr>
                            <w:rFonts w:eastAsia="Times New Roman"/>
                          </w:rPr>
                        </w:pPr>
                        <w:r>
                          <w:rPr>
                            <w:rFonts w:eastAsia="Times New Roman"/>
                            <w:noProof/>
                          </w:rPr>
                          <w:drawing>
                            <wp:inline distT="0" distB="0" distL="0" distR="0" wp14:anchorId="435F7CA3" wp14:editId="3FFFA3D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97721" w14:paraId="162E87A9" w14:textId="77777777">
                    <w:trPr>
                      <w:tblCellSpacing w:w="0" w:type="dxa"/>
                    </w:trPr>
                    <w:tc>
                      <w:tcPr>
                        <w:tcW w:w="0" w:type="auto"/>
                        <w:vMerge/>
                        <w:tcBorders>
                          <w:top w:val="nil"/>
                          <w:left w:val="nil"/>
                          <w:bottom w:val="single" w:sz="2" w:space="0" w:color="FFFFFF"/>
                          <w:right w:val="nil"/>
                        </w:tcBorders>
                        <w:vAlign w:val="center"/>
                        <w:hideMark/>
                      </w:tcPr>
                      <w:p w14:paraId="244EAA7E" w14:textId="77777777" w:rsidR="00197721" w:rsidRDefault="00197721">
                        <w:pPr>
                          <w:rPr>
                            <w:rFonts w:eastAsia="Times New Roman"/>
                          </w:rPr>
                        </w:pPr>
                      </w:p>
                    </w:tc>
                    <w:tc>
                      <w:tcPr>
                        <w:tcW w:w="3450" w:type="dxa"/>
                        <w:tcBorders>
                          <w:top w:val="nil"/>
                          <w:left w:val="nil"/>
                          <w:bottom w:val="nil"/>
                          <w:right w:val="nil"/>
                        </w:tcBorders>
                        <w:vAlign w:val="center"/>
                        <w:hideMark/>
                      </w:tcPr>
                      <w:p w14:paraId="78EF7A2A" w14:textId="77777777" w:rsidR="00197721" w:rsidRDefault="00197721">
                        <w:pPr>
                          <w:pStyle w:val="Heading1"/>
                          <w:rPr>
                            <w:rFonts w:eastAsia="Times New Roman"/>
                          </w:rPr>
                        </w:pPr>
                        <w:r>
                          <w:rPr>
                            <w:rFonts w:eastAsia="Times New Roman"/>
                          </w:rPr>
                          <w:t>Daily Update </w:t>
                        </w:r>
                      </w:p>
                    </w:tc>
                  </w:tr>
                  <w:tr w:rsidR="00197721" w14:paraId="409D53E6" w14:textId="77777777">
                    <w:trPr>
                      <w:tblCellSpacing w:w="0" w:type="dxa"/>
                    </w:trPr>
                    <w:tc>
                      <w:tcPr>
                        <w:tcW w:w="0" w:type="auto"/>
                        <w:vMerge/>
                        <w:tcBorders>
                          <w:top w:val="nil"/>
                          <w:left w:val="nil"/>
                          <w:bottom w:val="single" w:sz="2" w:space="0" w:color="FFFFFF"/>
                          <w:right w:val="nil"/>
                        </w:tcBorders>
                        <w:vAlign w:val="center"/>
                        <w:hideMark/>
                      </w:tcPr>
                      <w:p w14:paraId="12170F2D" w14:textId="77777777" w:rsidR="00197721" w:rsidRDefault="0019772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9ADEE58" w14:textId="77777777" w:rsidR="00197721" w:rsidRDefault="00197721">
                        <w:pPr>
                          <w:pStyle w:val="Heading2"/>
                          <w:rPr>
                            <w:rFonts w:eastAsia="Times New Roman"/>
                            <w:color w:val="93378A"/>
                          </w:rPr>
                        </w:pPr>
                        <w:r>
                          <w:rPr>
                            <w:rFonts w:eastAsia="Times New Roman"/>
                            <w:color w:val="93378A"/>
                          </w:rPr>
                          <w:t>Thursday 20th May 2021</w:t>
                        </w:r>
                      </w:p>
                    </w:tc>
                  </w:tr>
                </w:tbl>
                <w:p w14:paraId="6EA885A7" w14:textId="77777777" w:rsidR="00197721" w:rsidRDefault="00197721">
                  <w:pPr>
                    <w:rPr>
                      <w:rFonts w:ascii="Times New Roman" w:eastAsia="Times New Roman" w:hAnsi="Times New Roman" w:cs="Times New Roman"/>
                      <w:sz w:val="20"/>
                      <w:szCs w:val="20"/>
                    </w:rPr>
                  </w:pPr>
                </w:p>
              </w:tc>
            </w:tr>
            <w:tr w:rsidR="00197721" w14:paraId="5C8BD155" w14:textId="77777777">
              <w:trPr>
                <w:tblCellSpacing w:w="0" w:type="dxa"/>
                <w:jc w:val="center"/>
              </w:trPr>
              <w:tc>
                <w:tcPr>
                  <w:tcW w:w="9000" w:type="dxa"/>
                  <w:hideMark/>
                </w:tcPr>
                <w:p w14:paraId="2407DBE6" w14:textId="24C2642D" w:rsidR="00197721" w:rsidRDefault="00197721">
                  <w:pPr>
                    <w:rPr>
                      <w:rFonts w:eastAsia="Times New Roman"/>
                    </w:rPr>
                  </w:pPr>
                  <w:r>
                    <w:rPr>
                      <w:rFonts w:eastAsia="Times New Roman"/>
                      <w:noProof/>
                    </w:rPr>
                    <w:drawing>
                      <wp:inline distT="0" distB="0" distL="0" distR="0" wp14:anchorId="413D55E7" wp14:editId="16F3DF18">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97721" w14:paraId="078B5EF5"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197721" w14:paraId="78A60AFC" w14:textId="77777777">
                    <w:trPr>
                      <w:trHeight w:val="150"/>
                      <w:tblCellSpacing w:w="15" w:type="dxa"/>
                      <w:jc w:val="center"/>
                    </w:trPr>
                    <w:tc>
                      <w:tcPr>
                        <w:tcW w:w="150" w:type="dxa"/>
                        <w:vAlign w:val="center"/>
                        <w:hideMark/>
                      </w:tcPr>
                      <w:p w14:paraId="7AEA8E5B" w14:textId="77777777" w:rsidR="00197721" w:rsidRDefault="00197721">
                        <w:pPr>
                          <w:rPr>
                            <w:rFonts w:eastAsia="Times New Roman"/>
                          </w:rPr>
                        </w:pPr>
                      </w:p>
                    </w:tc>
                    <w:tc>
                      <w:tcPr>
                        <w:tcW w:w="8700" w:type="dxa"/>
                        <w:vAlign w:val="center"/>
                        <w:hideMark/>
                      </w:tcPr>
                      <w:p w14:paraId="13642928" w14:textId="77777777" w:rsidR="00197721" w:rsidRDefault="00197721">
                        <w:pPr>
                          <w:rPr>
                            <w:rFonts w:ascii="Times New Roman" w:eastAsia="Times New Roman" w:hAnsi="Times New Roman" w:cs="Times New Roman"/>
                            <w:sz w:val="20"/>
                            <w:szCs w:val="20"/>
                          </w:rPr>
                        </w:pPr>
                      </w:p>
                    </w:tc>
                    <w:tc>
                      <w:tcPr>
                        <w:tcW w:w="150" w:type="dxa"/>
                        <w:vAlign w:val="center"/>
                        <w:hideMark/>
                      </w:tcPr>
                      <w:p w14:paraId="048B8CD2" w14:textId="77777777" w:rsidR="00197721" w:rsidRDefault="00197721">
                        <w:pPr>
                          <w:rPr>
                            <w:rFonts w:ascii="Times New Roman" w:eastAsia="Times New Roman" w:hAnsi="Times New Roman" w:cs="Times New Roman"/>
                            <w:sz w:val="20"/>
                            <w:szCs w:val="20"/>
                          </w:rPr>
                        </w:pPr>
                      </w:p>
                    </w:tc>
                  </w:tr>
                  <w:tr w:rsidR="00197721" w14:paraId="61B260F0" w14:textId="77777777">
                    <w:trPr>
                      <w:tblCellSpacing w:w="15" w:type="dxa"/>
                      <w:jc w:val="center"/>
                    </w:trPr>
                    <w:tc>
                      <w:tcPr>
                        <w:tcW w:w="150" w:type="dxa"/>
                        <w:vAlign w:val="center"/>
                        <w:hideMark/>
                      </w:tcPr>
                      <w:p w14:paraId="15005651" w14:textId="77777777" w:rsidR="00197721" w:rsidRDefault="00197721">
                        <w:pPr>
                          <w:rPr>
                            <w:rFonts w:ascii="Times New Roman" w:eastAsia="Times New Roman" w:hAnsi="Times New Roman" w:cs="Times New Roman"/>
                            <w:sz w:val="20"/>
                            <w:szCs w:val="20"/>
                          </w:rPr>
                        </w:pPr>
                      </w:p>
                    </w:tc>
                    <w:tc>
                      <w:tcPr>
                        <w:tcW w:w="8700" w:type="dxa"/>
                        <w:vAlign w:val="center"/>
                        <w:hideMark/>
                      </w:tcPr>
                      <w:p w14:paraId="48FC2323" w14:textId="77777777" w:rsidR="00197721" w:rsidRDefault="00197721">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0BDCDB05" w14:textId="77777777" w:rsidR="00197721" w:rsidRDefault="0019772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9154CD7">
                            <v:rect id="_x0000_i1032" style="width:468pt;height:1.5pt" o:hralign="center" o:hrstd="t" o:hr="t" fillcolor="#a0a0a0" stroked="f"/>
                          </w:pict>
                        </w:r>
                      </w:p>
                      <w:p w14:paraId="32CB1879" w14:textId="77777777" w:rsidR="00197721" w:rsidRDefault="00197721">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3476A2A3" w14:textId="77777777" w:rsidR="00197721" w:rsidRDefault="00197721">
                        <w:pPr>
                          <w:pStyle w:val="Heading2"/>
                          <w:rPr>
                            <w:rFonts w:eastAsia="Times New Roman"/>
                          </w:rPr>
                        </w:pPr>
                        <w:r>
                          <w:rPr>
                            <w:rFonts w:eastAsia="Times New Roman"/>
                          </w:rPr>
                          <w:t>In today's update: Access to SCR reminder; Carbimazole tablets recall; CPPE respiratory therapeutics e-course; MHRA drug safety update. </w:t>
                        </w:r>
                      </w:p>
                      <w:p w14:paraId="464A2866" w14:textId="77777777" w:rsidR="00197721" w:rsidRDefault="0019772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131D0B5">
                            <v:rect id="_x0000_i1033" style="width:468pt;height:1.5pt" o:hralign="center" o:hrstd="t" o:hr="t" fillcolor="#a0a0a0" stroked="f"/>
                          </w:pict>
                        </w:r>
                      </w:p>
                      <w:p w14:paraId="25FC9B16" w14:textId="77777777" w:rsidR="00197721" w:rsidRDefault="00197721">
                        <w:pPr>
                          <w:pStyle w:val="Heading3"/>
                          <w:rPr>
                            <w:rFonts w:eastAsia="Times New Roman"/>
                          </w:rPr>
                        </w:pPr>
                        <w:r>
                          <w:rPr>
                            <w:rFonts w:eastAsia="Times New Roman"/>
                          </w:rPr>
                          <w:t>Regs reminder (#1): Access to Summary Care Records</w:t>
                        </w:r>
                      </w:p>
                      <w:p w14:paraId="66D66026" w14:textId="71E6C7DC" w:rsidR="00197721" w:rsidRDefault="00197721" w:rsidP="0019772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begun a series of reminders about changes to the pharmacy Terms of Service that took place in late 2020. Community pharmacy contractors are advised to review these reminders in preparation for completing the 2021/22 Community Pharmacy Assurance Framework (CPAF) survey, which will include questions on the new Terms of Service.</w:t>
                        </w:r>
                        <w:r>
                          <w:rPr>
                            <w:rFonts w:ascii="Tahoma" w:eastAsia="Times New Roman" w:hAnsi="Tahoma" w:cs="Tahoma"/>
                            <w:color w:val="303030"/>
                            <w:sz w:val="21"/>
                            <w:szCs w:val="21"/>
                          </w:rPr>
                          <w:br/>
                        </w:r>
                        <w:r>
                          <w:rPr>
                            <w:rFonts w:ascii="Tahoma" w:eastAsia="Times New Roman" w:hAnsi="Tahoma" w:cs="Tahoma"/>
                            <w:color w:val="303030"/>
                            <w:sz w:val="21"/>
                            <w:szCs w:val="21"/>
                          </w:rPr>
                          <w:br/>
                          <w:t>First up is access to Summary Care Records (SCR). For this requirement, contractors need to ensure that staff working at their pharmacy can access NHS SCRs and that access is consistent and reliable during the pharmacy’s opening hours, in so far as is within the control of the contractor.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tooltip="https://psnc.org.uk/our-news/regs-reminder-1-access-to-scr/" w:history="1">
                          <w:r>
                            <w:rPr>
                              <w:rStyle w:val="Hyperlink"/>
                              <w:rFonts w:ascii="Tahoma" w:eastAsia="Times New Roman" w:hAnsi="Tahoma" w:cs="Tahoma"/>
                              <w:b/>
                              <w:bCs/>
                              <w:color w:val="4E3487"/>
                              <w:sz w:val="21"/>
                              <w:szCs w:val="21"/>
                            </w:rPr>
                            <w:t>Read our regs reminder on SCR access for more information</w:t>
                          </w:r>
                        </w:hyperlink>
                        <w:r>
                          <w:rPr>
                            <w:rFonts w:ascii="Tahoma" w:eastAsia="Times New Roman" w:hAnsi="Tahoma" w:cs="Tahoma"/>
                            <w:color w:val="303030"/>
                            <w:sz w:val="21"/>
                            <w:szCs w:val="21"/>
                          </w:rPr>
                          <w:t xml:space="preserve"> </w:t>
                        </w:r>
                      </w:p>
                      <w:p w14:paraId="493384BF" w14:textId="77777777" w:rsidR="00197721" w:rsidRDefault="0019772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F20B295">
                            <v:rect id="_x0000_i1034" style="width:468pt;height:1.5pt" o:hralign="center" o:hrstd="t" o:hr="t" fillcolor="#a0a0a0" stroked="f"/>
                          </w:pict>
                        </w:r>
                      </w:p>
                      <w:p w14:paraId="58785F4A" w14:textId="77777777" w:rsidR="00197721" w:rsidRDefault="00197721">
                        <w:pPr>
                          <w:pStyle w:val="Heading3"/>
                          <w:rPr>
                            <w:rFonts w:eastAsia="Times New Roman"/>
                          </w:rPr>
                        </w:pPr>
                        <w:r>
                          <w:rPr>
                            <w:rFonts w:eastAsia="Times New Roman"/>
                          </w:rPr>
                          <w:t xml:space="preserve">MHRA medicines recall </w:t>
                        </w:r>
                        <w:proofErr w:type="gramStart"/>
                        <w:r>
                          <w:rPr>
                            <w:rFonts w:eastAsia="Times New Roman"/>
                          </w:rPr>
                          <w:t>notice</w:t>
                        </w:r>
                        <w:proofErr w:type="gramEnd"/>
                      </w:p>
                      <w:p w14:paraId="1CEC73CD" w14:textId="3D8E3C75" w:rsidR="00197721" w:rsidRDefault="00197721" w:rsidP="0019772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Medicines and Healthcare Regulatory Agency (MHRA) has issued a class 3 medicines recall for </w:t>
                        </w:r>
                        <w:r>
                          <w:rPr>
                            <w:rStyle w:val="Strong"/>
                            <w:rFonts w:ascii="Tahoma" w:eastAsia="Times New Roman" w:hAnsi="Tahoma" w:cs="Tahoma"/>
                            <w:color w:val="303030"/>
                            <w:sz w:val="21"/>
                            <w:szCs w:val="21"/>
                          </w:rPr>
                          <w:t>Carbimazole 10mg and 15mg tablets. </w:t>
                        </w:r>
                        <w:r>
                          <w:rPr>
                            <w:rFonts w:ascii="Tahoma" w:eastAsia="Times New Roman" w:hAnsi="Tahoma" w:cs="Tahoma"/>
                            <w:color w:val="303030"/>
                            <w:sz w:val="21"/>
                            <w:szCs w:val="21"/>
                          </w:rPr>
                          <w:t>Healthcare professionals are advised to stop supplying the batches listed in the recall notice immediately and to quarantine all remaining stock and return it to the supplier using their approved process. </w:t>
                        </w:r>
                        <w:r>
                          <w:rPr>
                            <w:rFonts w:ascii="Tahoma" w:eastAsia="Times New Roman" w:hAnsi="Tahoma" w:cs="Tahoma"/>
                            <w:color w:val="303030"/>
                            <w:sz w:val="21"/>
                            <w:szCs w:val="21"/>
                          </w:rPr>
                          <w:br/>
                        </w:r>
                        <w:r>
                          <w:rPr>
                            <w:rFonts w:ascii="Tahoma" w:eastAsia="Times New Roman" w:hAnsi="Tahoma" w:cs="Tahoma"/>
                            <w:color w:val="303030"/>
                            <w:sz w:val="21"/>
                            <w:szCs w:val="21"/>
                          </w:rPr>
                          <w:br/>
                          <w:t>Advanz Pharma is recalling the below batches of carbimazole tablets as a precautionary measure, due to a defect relating to oxidation of the excipient red iron oxide on the surface of the tablets observed during routine stability testing.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 about the recall</w:t>
                          </w:r>
                        </w:hyperlink>
                        <w:r>
                          <w:rPr>
                            <w:rFonts w:ascii="Tahoma" w:eastAsia="Times New Roman" w:hAnsi="Tahoma" w:cs="Tahoma"/>
                            <w:color w:val="303030"/>
                            <w:sz w:val="21"/>
                            <w:szCs w:val="21"/>
                          </w:rPr>
                          <w:t xml:space="preserve"> </w:t>
                        </w:r>
                      </w:p>
                      <w:p w14:paraId="362331C0" w14:textId="77777777" w:rsidR="00197721" w:rsidRDefault="0019772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46FB74D">
                            <v:rect id="_x0000_i1035" style="width:468pt;height:1.5pt" o:hralign="center" o:hrstd="t" o:hr="t" fillcolor="#a0a0a0" stroked="f"/>
                          </w:pict>
                        </w:r>
                      </w:p>
                      <w:p w14:paraId="7F386804" w14:textId="77777777" w:rsidR="00197721" w:rsidRDefault="00197721">
                        <w:pPr>
                          <w:pStyle w:val="Heading3"/>
                          <w:rPr>
                            <w:rFonts w:eastAsia="Times New Roman"/>
                          </w:rPr>
                        </w:pPr>
                        <w:r>
                          <w:rPr>
                            <w:rFonts w:eastAsia="Times New Roman"/>
                          </w:rPr>
                          <w:t>CPPE launches Fundamentals of respiratory therapeutics e-</w:t>
                        </w:r>
                        <w:proofErr w:type="gramStart"/>
                        <w:r>
                          <w:rPr>
                            <w:rFonts w:eastAsia="Times New Roman"/>
                          </w:rPr>
                          <w:t>learning</w:t>
                        </w:r>
                        <w:proofErr w:type="gramEnd"/>
                      </w:p>
                      <w:p w14:paraId="31FB566B" w14:textId="14B21FF6" w:rsidR="00197721" w:rsidRDefault="00197721" w:rsidP="0019772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The Centre for Pharmacy Postgraduate Education (CPPE) has launched a Fundamentals of respiratory therapeutics e-course, which aims to support pharmacists and pharmacy technicians to provide a person-centred approach to the overall healthcare of people living with respiratory disease.</w:t>
                        </w:r>
                        <w:r>
                          <w:rPr>
                            <w:rFonts w:ascii="Tahoma" w:eastAsia="Times New Roman" w:hAnsi="Tahoma" w:cs="Tahoma"/>
                            <w:color w:val="303030"/>
                            <w:sz w:val="21"/>
                            <w:szCs w:val="21"/>
                          </w:rPr>
                          <w:br/>
                        </w:r>
                        <w:r>
                          <w:rPr>
                            <w:rFonts w:ascii="Tahoma" w:eastAsia="Times New Roman" w:hAnsi="Tahoma" w:cs="Tahoma"/>
                            <w:color w:val="303030"/>
                            <w:sz w:val="21"/>
                            <w:szCs w:val="21"/>
                          </w:rPr>
                          <w:br/>
                          <w:t>The e-course covers information on inhaler technique and nebular use, common respiratory conditions, and the management of specific conditions and respiratory diseases.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this course</w:t>
                          </w:r>
                        </w:hyperlink>
                        <w:r>
                          <w:rPr>
                            <w:rFonts w:ascii="Tahoma" w:eastAsia="Times New Roman" w:hAnsi="Tahoma" w:cs="Tahoma"/>
                            <w:color w:val="303030"/>
                            <w:sz w:val="21"/>
                            <w:szCs w:val="21"/>
                          </w:rPr>
                          <w:t xml:space="preserve"> </w:t>
                        </w:r>
                      </w:p>
                      <w:p w14:paraId="122F0F2E" w14:textId="77777777" w:rsidR="00197721" w:rsidRDefault="0019772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CD7CF28">
                            <v:rect id="_x0000_i1036" style="width:468pt;height:1.5pt" o:hralign="center" o:hrstd="t" o:hr="t" fillcolor="#a0a0a0" stroked="f"/>
                          </w:pict>
                        </w:r>
                      </w:p>
                      <w:p w14:paraId="3266160D" w14:textId="77777777" w:rsidR="00197721" w:rsidRDefault="00197721">
                        <w:pPr>
                          <w:pStyle w:val="Heading3"/>
                          <w:rPr>
                            <w:rFonts w:eastAsia="Times New Roman"/>
                          </w:rPr>
                        </w:pPr>
                        <w:r>
                          <w:rPr>
                            <w:rFonts w:eastAsia="Times New Roman"/>
                          </w:rPr>
                          <w:t>MHRA drug safety update</w:t>
                        </w:r>
                      </w:p>
                      <w:p w14:paraId="1168CF5C" w14:textId="1080D079" w:rsidR="00197721" w:rsidRDefault="00197721" w:rsidP="0019772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new MHRA Drug Safety Update has been published, including an article with prescribing advice for patients who experience symptoms on switching between different levothyroxine products, and updates on COVID-19 vaccines and medicines.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the full MHRA update</w:t>
                          </w:r>
                        </w:hyperlink>
                      </w:p>
                    </w:tc>
                    <w:tc>
                      <w:tcPr>
                        <w:tcW w:w="150" w:type="dxa"/>
                        <w:vAlign w:val="center"/>
                        <w:hideMark/>
                      </w:tcPr>
                      <w:p w14:paraId="7CE7BFB4" w14:textId="77777777" w:rsidR="00197721" w:rsidRDefault="00197721">
                        <w:pPr>
                          <w:rPr>
                            <w:rFonts w:ascii="Tahoma" w:eastAsia="Times New Roman" w:hAnsi="Tahoma" w:cs="Tahoma"/>
                            <w:color w:val="303030"/>
                            <w:sz w:val="21"/>
                            <w:szCs w:val="21"/>
                          </w:rPr>
                        </w:pPr>
                      </w:p>
                    </w:tc>
                  </w:tr>
                  <w:tr w:rsidR="00197721" w14:paraId="48F02A65" w14:textId="77777777">
                    <w:trPr>
                      <w:trHeight w:val="150"/>
                      <w:tblCellSpacing w:w="15" w:type="dxa"/>
                      <w:jc w:val="center"/>
                    </w:trPr>
                    <w:tc>
                      <w:tcPr>
                        <w:tcW w:w="150" w:type="dxa"/>
                        <w:vAlign w:val="center"/>
                        <w:hideMark/>
                      </w:tcPr>
                      <w:p w14:paraId="133DBD78" w14:textId="77777777" w:rsidR="00197721" w:rsidRDefault="00197721">
                        <w:pPr>
                          <w:rPr>
                            <w:rFonts w:ascii="Times New Roman" w:eastAsia="Times New Roman" w:hAnsi="Times New Roman" w:cs="Times New Roman"/>
                            <w:sz w:val="20"/>
                            <w:szCs w:val="20"/>
                          </w:rPr>
                        </w:pPr>
                      </w:p>
                    </w:tc>
                    <w:tc>
                      <w:tcPr>
                        <w:tcW w:w="8700" w:type="dxa"/>
                        <w:vAlign w:val="center"/>
                        <w:hideMark/>
                      </w:tcPr>
                      <w:p w14:paraId="429A55BF" w14:textId="77777777" w:rsidR="00197721" w:rsidRDefault="00197721">
                        <w:pPr>
                          <w:rPr>
                            <w:rFonts w:ascii="Times New Roman" w:eastAsia="Times New Roman" w:hAnsi="Times New Roman" w:cs="Times New Roman"/>
                            <w:sz w:val="20"/>
                            <w:szCs w:val="20"/>
                          </w:rPr>
                        </w:pPr>
                      </w:p>
                    </w:tc>
                    <w:tc>
                      <w:tcPr>
                        <w:tcW w:w="150" w:type="dxa"/>
                        <w:vAlign w:val="center"/>
                        <w:hideMark/>
                      </w:tcPr>
                      <w:p w14:paraId="35D86039" w14:textId="77777777" w:rsidR="00197721" w:rsidRDefault="00197721">
                        <w:pPr>
                          <w:rPr>
                            <w:rFonts w:ascii="Times New Roman" w:eastAsia="Times New Roman" w:hAnsi="Times New Roman" w:cs="Times New Roman"/>
                            <w:sz w:val="20"/>
                            <w:szCs w:val="20"/>
                          </w:rPr>
                        </w:pPr>
                      </w:p>
                    </w:tc>
                  </w:tr>
                </w:tbl>
                <w:p w14:paraId="40974DAB" w14:textId="77777777" w:rsidR="00197721" w:rsidRDefault="00197721">
                  <w:pPr>
                    <w:jc w:val="center"/>
                    <w:rPr>
                      <w:rFonts w:ascii="Times New Roman" w:eastAsia="Times New Roman" w:hAnsi="Times New Roman" w:cs="Times New Roman"/>
                      <w:sz w:val="20"/>
                      <w:szCs w:val="20"/>
                    </w:rPr>
                  </w:pPr>
                </w:p>
              </w:tc>
            </w:tr>
          </w:tbl>
          <w:p w14:paraId="08C69B93" w14:textId="77777777" w:rsidR="00197721" w:rsidRDefault="00197721">
            <w:pPr>
              <w:jc w:val="center"/>
              <w:rPr>
                <w:rFonts w:ascii="Times New Roman" w:eastAsia="Times New Roman" w:hAnsi="Times New Roman" w:cs="Times New Roman"/>
                <w:sz w:val="20"/>
                <w:szCs w:val="20"/>
              </w:rPr>
            </w:pPr>
          </w:p>
        </w:tc>
      </w:tr>
      <w:tr w:rsidR="00197721" w14:paraId="3F7D2916" w14:textId="77777777" w:rsidTr="00197721">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97721" w14:paraId="0C771F1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97721" w14:paraId="1902B908" w14:textId="77777777">
                    <w:trPr>
                      <w:tblCellSpacing w:w="0" w:type="dxa"/>
                      <w:jc w:val="center"/>
                    </w:trPr>
                    <w:tc>
                      <w:tcPr>
                        <w:tcW w:w="3000" w:type="dxa"/>
                        <w:tcMar>
                          <w:top w:w="30" w:type="dxa"/>
                          <w:left w:w="75" w:type="dxa"/>
                          <w:bottom w:w="30" w:type="dxa"/>
                          <w:right w:w="75" w:type="dxa"/>
                        </w:tcMar>
                        <w:hideMark/>
                      </w:tcPr>
                      <w:p w14:paraId="45E10444" w14:textId="77777777" w:rsidR="00197721" w:rsidRDefault="00197721">
                        <w:pPr>
                          <w:pStyle w:val="Heading4"/>
                          <w:jc w:val="center"/>
                          <w:rPr>
                            <w:rFonts w:eastAsia="Times New Roman"/>
                          </w:rPr>
                        </w:pPr>
                        <w:r>
                          <w:rPr>
                            <w:rFonts w:eastAsia="Times New Roman"/>
                          </w:rPr>
                          <w:lastRenderedPageBreak/>
                          <w:t>Pharmaceutical Services Negotiating Committee</w:t>
                        </w:r>
                      </w:p>
                      <w:p w14:paraId="646D8403" w14:textId="5BD1CA60" w:rsidR="00197721" w:rsidRDefault="00197721">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E32DE43" wp14:editId="4A954701">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0859B0A" wp14:editId="711A69A8">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0999B48" wp14:editId="253B2AEE">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FE71264" wp14:editId="47F1AE3E">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86E42BA" w14:textId="77777777" w:rsidR="00197721" w:rsidRDefault="00197721">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97721" w14:paraId="2E5FF51E" w14:textId="77777777">
                    <w:trPr>
                      <w:trHeight w:val="450"/>
                      <w:tblCellSpacing w:w="0" w:type="dxa"/>
                      <w:jc w:val="center"/>
                    </w:trPr>
                    <w:tc>
                      <w:tcPr>
                        <w:tcW w:w="9000" w:type="dxa"/>
                        <w:tcMar>
                          <w:top w:w="150" w:type="dxa"/>
                          <w:left w:w="0" w:type="dxa"/>
                          <w:bottom w:w="0" w:type="dxa"/>
                          <w:right w:w="0" w:type="dxa"/>
                        </w:tcMar>
                        <w:vAlign w:val="center"/>
                        <w:hideMark/>
                      </w:tcPr>
                      <w:p w14:paraId="18812B1F" w14:textId="77777777" w:rsidR="00197721" w:rsidRDefault="00197721">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5"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26"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324B43DC" w14:textId="77777777" w:rsidR="00197721" w:rsidRDefault="00197721">
                  <w:pPr>
                    <w:jc w:val="center"/>
                    <w:rPr>
                      <w:rFonts w:ascii="Times New Roman" w:eastAsia="Times New Roman" w:hAnsi="Times New Roman" w:cs="Times New Roman"/>
                      <w:sz w:val="20"/>
                      <w:szCs w:val="20"/>
                    </w:rPr>
                  </w:pPr>
                </w:p>
              </w:tc>
            </w:tr>
          </w:tbl>
          <w:p w14:paraId="50F0C332" w14:textId="77777777" w:rsidR="00197721" w:rsidRDefault="00197721">
            <w:pPr>
              <w:jc w:val="center"/>
              <w:rPr>
                <w:rFonts w:ascii="Times New Roman" w:eastAsia="Times New Roman" w:hAnsi="Times New Roman" w:cs="Times New Roman"/>
                <w:sz w:val="20"/>
                <w:szCs w:val="20"/>
              </w:rPr>
            </w:pPr>
          </w:p>
        </w:tc>
      </w:tr>
    </w:tbl>
    <w:p w14:paraId="3F9DF541" w14:textId="515B2324" w:rsidR="00197721" w:rsidRDefault="00197721" w:rsidP="00197721">
      <w:pPr>
        <w:rPr>
          <w:rFonts w:eastAsia="Times New Roman"/>
        </w:rPr>
      </w:pPr>
      <w:r>
        <w:rPr>
          <w:rFonts w:eastAsia="Times New Roman"/>
          <w:noProof/>
        </w:rPr>
        <w:drawing>
          <wp:inline distT="0" distB="0" distL="0" distR="0" wp14:anchorId="6EB95C45" wp14:editId="6EE48F5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31562F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21"/>
    <w:rsid w:val="0019772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A56B"/>
  <w15:chartTrackingRefBased/>
  <w15:docId w15:val="{20B18631-B99C-40A8-A1D6-C1D3EDC4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21"/>
    <w:rPr>
      <w:rFonts w:ascii="Calibri" w:hAnsi="Calibri" w:cs="Calibri"/>
      <w:lang w:eastAsia="en-GB"/>
    </w:rPr>
  </w:style>
  <w:style w:type="paragraph" w:styleId="Heading1">
    <w:name w:val="heading 1"/>
    <w:basedOn w:val="Normal"/>
    <w:link w:val="Heading1Char"/>
    <w:uiPriority w:val="9"/>
    <w:qFormat/>
    <w:rsid w:val="00197721"/>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97721"/>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97721"/>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97721"/>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721"/>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97721"/>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97721"/>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97721"/>
    <w:rPr>
      <w:rFonts w:ascii="Tahoma" w:hAnsi="Tahoma" w:cs="Tahoma"/>
      <w:b/>
      <w:bCs/>
      <w:color w:val="FFFFFF"/>
      <w:sz w:val="18"/>
      <w:szCs w:val="18"/>
      <w:lang w:eastAsia="en-GB"/>
    </w:rPr>
  </w:style>
  <w:style w:type="character" w:styleId="Strong">
    <w:name w:val="Strong"/>
    <w:basedOn w:val="DefaultParagraphFont"/>
    <w:uiPriority w:val="22"/>
    <w:qFormat/>
    <w:rsid w:val="00197721"/>
    <w:rPr>
      <w:b/>
      <w:bCs/>
    </w:rPr>
  </w:style>
  <w:style w:type="character" w:styleId="Hyperlink">
    <w:name w:val="Hyperlink"/>
    <w:basedOn w:val="DefaultParagraphFont"/>
    <w:uiPriority w:val="99"/>
    <w:semiHidden/>
    <w:unhideWhenUsed/>
    <w:rsid w:val="00197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3e42efb62&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11840fcec4&amp;e=d19e9fd41c" TargetMode="External"/><Relationship Id="rId26" Type="http://schemas.openxmlformats.org/officeDocument/2006/relationships/hyperlink" Target="https://psnc.us7.list-manage.com/profile?u=86d41ab7fa4c7c2c5d7210782&amp;id=b5ca69e1d1&amp;e=d19e9fd41c&amp;c=ad357fed08"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9c352decdc&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afb49cf4d5&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hyperlink" Target="https://psnc.us7.list-manage.com/unsubscribe?u=86d41ab7fa4c7c2c5d7210782&amp;id=b5ca69e1d1&amp;e=d19e9fd41c&amp;c=ad357fed08"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805a21891&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d36c01c8b7&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image" Target="https://psnc.us7.list-manage.com/track/open.php?u=86d41ab7fa4c7c2c5d7210782&amp;id=ad357fed08&amp;e=d19e9fd41c" TargetMode="External"/><Relationship Id="rId10" Type="http://schemas.openxmlformats.org/officeDocument/2006/relationships/hyperlink" Target="https://psnc.us7.list-manage.com/track/click?u=86d41ab7fa4c7c2c5d7210782&amp;id=a1d384d00f&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90589cc0c2&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2021-05-21T07:29:00Z</dcterms:created>
  <dcterms:modified xsi:type="dcterms:W3CDTF">2021-05-21T07:30:00Z</dcterms:modified>
</cp:coreProperties>
</file>