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B9831A2" w14:textId="77777777" w:rsidR="00742AAF" w:rsidRDefault="002974D6" w:rsidP="00B3219E">
            <w:pPr>
              <w:rPr>
                <w:szCs w:val="28"/>
              </w:rPr>
            </w:pPr>
            <w:r>
              <w:rPr>
                <w:szCs w:val="28"/>
              </w:rPr>
              <w:t>Frimley ICS</w:t>
            </w:r>
          </w:p>
          <w:p w14:paraId="694596D0" w14:textId="7391625E" w:rsidR="002974D6" w:rsidRDefault="00C1631E" w:rsidP="00B3219E">
            <w:pPr>
              <w:rPr>
                <w:szCs w:val="28"/>
              </w:rPr>
            </w:pPr>
            <w:r>
              <w:rPr>
                <w:rFonts w:ascii="Arial" w:hAnsi="Arial" w:cs="Arial"/>
                <w:sz w:val="20"/>
              </w:rPr>
              <w:t>On demand availability of drugs</w:t>
            </w:r>
            <w:r>
              <w:rPr>
                <w:rFonts w:ascii="Arial" w:hAnsi="Arial" w:cs="Arial"/>
                <w:sz w:val="20"/>
              </w:rPr>
              <w:t xml:space="preserve"> (Ondansetron)</w:t>
            </w:r>
            <w:r>
              <w:rPr>
                <w:rFonts w:ascii="Arial" w:hAnsi="Arial" w:cs="Arial"/>
                <w:sz w:val="20"/>
              </w:rPr>
              <w:t xml:space="preserve"> for Childhood </w:t>
            </w:r>
            <w:r w:rsidRPr="001C780D">
              <w:rPr>
                <w:rFonts w:ascii="Arial" w:hAnsi="Arial" w:cs="Arial"/>
                <w:sz w:val="20"/>
              </w:rPr>
              <w:t>Gastroenteritis</w:t>
            </w:r>
            <w:r>
              <w:rPr>
                <w:rFonts w:ascii="Arial" w:hAnsi="Arial" w:cs="Arial"/>
                <w:sz w:val="20"/>
              </w:rPr>
              <w:t xml:space="preserve"> in Community Pharmacies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C1631E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06B5C330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C1631E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22E3665" w:rsidR="00045F43" w:rsidRPr="0073541F" w:rsidRDefault="00045F4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C1631E">
        <w:trPr>
          <w:trHeight w:val="1833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CA522A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0AAB35BC" w:rsidR="00045F43" w:rsidRDefault="00C1631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CA522A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3691A280" w:rsidR="00045F43" w:rsidRDefault="00C1631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CA522A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082C9504" w:rsidR="00045F43" w:rsidRDefault="00DA7CEC" w:rsidP="009163F2">
            <w:r>
              <w:t>Yes</w:t>
            </w:r>
          </w:p>
          <w:p w14:paraId="315D622B" w14:textId="77777777" w:rsidR="00E201C1" w:rsidRDefault="00E201C1" w:rsidP="009163F2"/>
          <w:p w14:paraId="2D19E9B0" w14:textId="4B4214ED" w:rsidR="00DA7CEC" w:rsidRDefault="00DA7CEC" w:rsidP="009163F2">
            <w:r>
              <w:t xml:space="preserve">Initial set up cost of approx. £75 to purchase </w:t>
            </w:r>
            <w:r w:rsidR="005C1DF9">
              <w:t>drugs, but first 6 monthly payment made by Frimley ICS at start</w:t>
            </w:r>
            <w:r w:rsidR="000510A9">
              <w:t xml:space="preserve"> (sept 2021) to cover this cost.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CA522A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079E829" w14:textId="052A94B3" w:rsidR="00734E2C" w:rsidRDefault="000510A9" w:rsidP="009163F2">
            <w:r>
              <w:t xml:space="preserve">6 monthly retainer payments </w:t>
            </w:r>
            <w:r w:rsidR="00734E2C">
              <w:t xml:space="preserve">will be made automatically by ICS (no claiming required for </w:t>
            </w:r>
            <w:r w:rsidR="00E201C1">
              <w:t>retainer</w:t>
            </w:r>
            <w:r w:rsidR="00734E2C">
              <w:t>).</w:t>
            </w:r>
          </w:p>
          <w:p w14:paraId="1B0D289C" w14:textId="77777777" w:rsidR="00734E2C" w:rsidRDefault="00734E2C" w:rsidP="009163F2"/>
          <w:p w14:paraId="6BBA7055" w14:textId="53401269" w:rsidR="00EF07DA" w:rsidRDefault="00734E2C" w:rsidP="009163F2">
            <w:r>
              <w:t xml:space="preserve">Out of Date stock </w:t>
            </w:r>
            <w:r w:rsidR="0061235B">
              <w:t xml:space="preserve">claimed via </w:t>
            </w:r>
            <w:r w:rsidR="00CA522A">
              <w:t xml:space="preserve">word doc </w:t>
            </w:r>
            <w:r w:rsidR="0061235B">
              <w:t>form sent by email to Frimley ICS.</w:t>
            </w:r>
            <w:r w:rsidR="000510A9"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CA522A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066ADD9F" w:rsidR="00EF07DA" w:rsidRDefault="0061235B" w:rsidP="009163F2">
            <w:r>
              <w:t>No equipment required</w:t>
            </w:r>
            <w:r w:rsidR="00D52AA0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CA522A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46C4D98E" w:rsidR="009163F2" w:rsidRDefault="0061235B" w:rsidP="009163F2">
            <w:r>
              <w:t>Yes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CA522A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2940474C" w:rsidR="00045F43" w:rsidRDefault="0061235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CA522A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58BDD6E1" w:rsidR="008138B5" w:rsidRDefault="0061235B" w:rsidP="009163F2">
            <w:r>
              <w:t>Sept</w:t>
            </w:r>
            <w:r w:rsidR="00EE21D0">
              <w:t>ember</w:t>
            </w:r>
            <w:r w:rsidR="00A41D75">
              <w:t xml:space="preserve"> 21 – August 23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48448E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3DC088C6" w14:textId="77777777" w:rsidR="008158ED" w:rsidRPr="008158ED" w:rsidRDefault="008158ED" w:rsidP="008158ED">
            <w:pPr>
              <w:pStyle w:val="Heading1"/>
              <w:shd w:val="clear" w:color="auto" w:fill="FAFAFB"/>
              <w:spacing w:line="240" w:lineRule="auto"/>
              <w:outlineLvl w:val="0"/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 w:rsidRPr="008158ED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NICE guidance </w:t>
            </w:r>
            <w:r w:rsidRPr="008158ED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Diarrhoea and vomiting caused by gastroenteritis in under 5s: diagnosis and management</w:t>
            </w:r>
          </w:p>
          <w:p w14:paraId="5E953807" w14:textId="77777777" w:rsidR="008158ED" w:rsidRPr="008158ED" w:rsidRDefault="008158ED" w:rsidP="008158ED">
            <w:r w:rsidRPr="008158ED">
              <w:t>Clinical guideline [CG84]</w:t>
            </w:r>
          </w:p>
          <w:p w14:paraId="35DB3B1E" w14:textId="77777777" w:rsidR="008158ED" w:rsidRPr="008158ED" w:rsidRDefault="008158ED" w:rsidP="008158ED"/>
          <w:p w14:paraId="2A8A4C8B" w14:textId="1D93456D" w:rsidR="00F804E5" w:rsidRDefault="0045435E" w:rsidP="008158ED">
            <w:r>
              <w:t>Local pathway included within the service spec</w:t>
            </w:r>
            <w:r w:rsidR="0048448E">
              <w:t>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CA522A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97A130C" w14:textId="0D1F0157" w:rsidR="00F804E5" w:rsidRDefault="00EE21D0" w:rsidP="009163F2">
            <w:r>
              <w:t>Yes</w:t>
            </w:r>
          </w:p>
          <w:p w14:paraId="79832C49" w14:textId="77777777" w:rsidR="0048448E" w:rsidRDefault="0048448E" w:rsidP="009163F2"/>
          <w:p w14:paraId="62F7E86C" w14:textId="05DD4429" w:rsidR="0019466D" w:rsidRDefault="0019466D" w:rsidP="009163F2">
            <w:r>
              <w:t xml:space="preserve">Aim is to keep </w:t>
            </w:r>
            <w:r w:rsidR="00474E4A">
              <w:t xml:space="preserve">the </w:t>
            </w:r>
            <w:r>
              <w:t>patient out of hospital</w:t>
            </w:r>
            <w:r w:rsidR="008506DC">
              <w:t xml:space="preserve"> and reduce </w:t>
            </w:r>
            <w:r w:rsidR="00474E4A">
              <w:t xml:space="preserve">the </w:t>
            </w:r>
            <w:r w:rsidR="008506DC">
              <w:t>need for out of hours treatment</w:t>
            </w:r>
            <w:r w:rsidR="0048448E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474E4A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296C46DC" w14:textId="049BD566" w:rsidR="00FF6A43" w:rsidRDefault="00EC7E48" w:rsidP="009163F2">
            <w:r>
              <w:t xml:space="preserve">Only monitoring may be a mystery </w:t>
            </w:r>
            <w:r w:rsidR="00D52AA0">
              <w:t>shopper,</w:t>
            </w:r>
            <w:r>
              <w:t xml:space="preserve"> but pharmacies will have no</w:t>
            </w:r>
            <w:r w:rsidR="00D52AA0">
              <w:t>t</w:t>
            </w:r>
            <w:r>
              <w:t>ice.</w:t>
            </w:r>
          </w:p>
          <w:p w14:paraId="5C5C9F01" w14:textId="77777777" w:rsidR="002E43F7" w:rsidRDefault="002E43F7" w:rsidP="009163F2"/>
          <w:p w14:paraId="71562EE9" w14:textId="3444D38B" w:rsidR="00087C8A" w:rsidRDefault="00087C8A" w:rsidP="009163F2">
            <w:r>
              <w:t>Contract – NHS Short</w:t>
            </w:r>
            <w:r w:rsidR="002E43F7">
              <w:t>er Form for termination clause</w:t>
            </w:r>
            <w:r w:rsidR="00D52AA0"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CA522A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lastRenderedPageBreak/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4C8CC9BC" w14:textId="17138A12" w:rsidR="00F804E5" w:rsidRDefault="00EE21D0" w:rsidP="009163F2">
            <w:r>
              <w:t>Yes</w:t>
            </w:r>
          </w:p>
          <w:p w14:paraId="63A4A4B6" w14:textId="77777777" w:rsidR="0048448E" w:rsidRDefault="0048448E" w:rsidP="009163F2"/>
          <w:p w14:paraId="70E0E128" w14:textId="14C2B824" w:rsidR="008506DC" w:rsidRDefault="008506DC" w:rsidP="009163F2">
            <w:r>
              <w:t>Especially with GP surgeries and OOH providers needing to refer a patient</w:t>
            </w:r>
            <w:r w:rsidR="0048448E">
              <w:t xml:space="preserve"> for Rx fulfilment</w:t>
            </w:r>
            <w:r>
              <w:t>.</w:t>
            </w:r>
          </w:p>
          <w:p w14:paraId="1DF7369F" w14:textId="5C0F2860" w:rsidR="00CA522A" w:rsidRDefault="00CA522A" w:rsidP="009163F2"/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CA522A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7FB39E3D" w:rsidR="00F804E5" w:rsidRDefault="00EE21D0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CA522A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21CF095" w:rsidR="00F804E5" w:rsidRDefault="00EE21D0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19466D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42EDEA0E" w14:textId="6F4FC2D2" w:rsidR="00F804E5" w:rsidRDefault="00FF6A43" w:rsidP="009163F2">
            <w:r>
              <w:t>Yes</w:t>
            </w:r>
          </w:p>
          <w:p w14:paraId="171C3E1D" w14:textId="77777777" w:rsidR="00FF6A43" w:rsidRDefault="00FF6A43" w:rsidP="009163F2"/>
          <w:p w14:paraId="7D9097E7" w14:textId="41E9EC3B" w:rsidR="00FF6A43" w:rsidRDefault="00FF6A43" w:rsidP="009163F2">
            <w:r>
              <w:t>Pharmacies asked to keep one complete pack of both products in stock at all times</w:t>
            </w:r>
            <w:r w:rsidR="007A4D47">
              <w:t>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CA522A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9163F2"/>
          <w:p w14:paraId="53A479F4" w14:textId="34413628" w:rsidR="00F804E5" w:rsidRDefault="00CA522A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CA522A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44FCB268" w:rsidR="00F804E5" w:rsidRDefault="00EE21D0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CA522A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5AB9B8EF" w:rsidR="00F804E5" w:rsidRDefault="005B4416" w:rsidP="009163F2">
            <w:r>
              <w:t>No reporting required</w:t>
            </w:r>
            <w:r w:rsidR="00CA522A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CA522A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268B7D75" w:rsidR="00F804E5" w:rsidRDefault="00F2580A" w:rsidP="009163F2">
            <w:r>
              <w:t xml:space="preserve">Frimley ICS will run a kick off evening webinar pre go live once the pharmacies selected. 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CA522A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21F8994B" w:rsidR="00F804E5" w:rsidRDefault="00F2580A" w:rsidP="009163F2">
            <w:r>
              <w:t>No record keeping required</w:t>
            </w:r>
            <w:r w:rsidR="00CA522A">
              <w:t>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F804E5" w:rsidRDefault="00F804E5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080F" w14:textId="77777777" w:rsidR="00FC6D35" w:rsidRDefault="00FC6D35" w:rsidP="00976447">
      <w:pPr>
        <w:spacing w:after="0" w:line="240" w:lineRule="auto"/>
      </w:pPr>
      <w:r>
        <w:separator/>
      </w:r>
    </w:p>
  </w:endnote>
  <w:endnote w:type="continuationSeparator" w:id="0">
    <w:p w14:paraId="6A3FD26E" w14:textId="77777777" w:rsidR="00FC6D35" w:rsidRDefault="00FC6D3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6909" w14:textId="77777777" w:rsidR="00FC6D35" w:rsidRDefault="00FC6D35" w:rsidP="00976447">
      <w:pPr>
        <w:spacing w:after="0" w:line="240" w:lineRule="auto"/>
      </w:pPr>
      <w:r>
        <w:separator/>
      </w:r>
    </w:p>
  </w:footnote>
  <w:footnote w:type="continuationSeparator" w:id="0">
    <w:p w14:paraId="6E6B839A" w14:textId="77777777" w:rsidR="00FC6D35" w:rsidRDefault="00FC6D3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510A9"/>
    <w:rsid w:val="0007423A"/>
    <w:rsid w:val="00087C8A"/>
    <w:rsid w:val="000A34AA"/>
    <w:rsid w:val="000C0217"/>
    <w:rsid w:val="000D39CA"/>
    <w:rsid w:val="000D51A7"/>
    <w:rsid w:val="000D6178"/>
    <w:rsid w:val="000F4BE3"/>
    <w:rsid w:val="00100477"/>
    <w:rsid w:val="00120B8B"/>
    <w:rsid w:val="001404CF"/>
    <w:rsid w:val="001535B4"/>
    <w:rsid w:val="0017606B"/>
    <w:rsid w:val="001879AF"/>
    <w:rsid w:val="0019466D"/>
    <w:rsid w:val="001B06EC"/>
    <w:rsid w:val="00244002"/>
    <w:rsid w:val="0028001F"/>
    <w:rsid w:val="002851C4"/>
    <w:rsid w:val="002974D6"/>
    <w:rsid w:val="002A4146"/>
    <w:rsid w:val="002E43F7"/>
    <w:rsid w:val="00332C98"/>
    <w:rsid w:val="003876C0"/>
    <w:rsid w:val="0041049D"/>
    <w:rsid w:val="0045435E"/>
    <w:rsid w:val="00460CB9"/>
    <w:rsid w:val="00474E4A"/>
    <w:rsid w:val="0048448E"/>
    <w:rsid w:val="004978F4"/>
    <w:rsid w:val="004A4DA0"/>
    <w:rsid w:val="004B0D0D"/>
    <w:rsid w:val="004B345B"/>
    <w:rsid w:val="004F2991"/>
    <w:rsid w:val="0053198F"/>
    <w:rsid w:val="005622DD"/>
    <w:rsid w:val="005859B7"/>
    <w:rsid w:val="005A1E13"/>
    <w:rsid w:val="005B08F0"/>
    <w:rsid w:val="005B4416"/>
    <w:rsid w:val="005C1DF9"/>
    <w:rsid w:val="005F25A9"/>
    <w:rsid w:val="0061235B"/>
    <w:rsid w:val="00612645"/>
    <w:rsid w:val="00643981"/>
    <w:rsid w:val="00674853"/>
    <w:rsid w:val="0068698C"/>
    <w:rsid w:val="00697410"/>
    <w:rsid w:val="006A4876"/>
    <w:rsid w:val="006A7667"/>
    <w:rsid w:val="006B2BB8"/>
    <w:rsid w:val="00734E2C"/>
    <w:rsid w:val="0073541F"/>
    <w:rsid w:val="00742AAF"/>
    <w:rsid w:val="00771CB7"/>
    <w:rsid w:val="00790210"/>
    <w:rsid w:val="007A4D47"/>
    <w:rsid w:val="007D5A8A"/>
    <w:rsid w:val="007E0BB9"/>
    <w:rsid w:val="007F001C"/>
    <w:rsid w:val="008138B5"/>
    <w:rsid w:val="008158ED"/>
    <w:rsid w:val="00835D38"/>
    <w:rsid w:val="008506DC"/>
    <w:rsid w:val="00862910"/>
    <w:rsid w:val="008A3C57"/>
    <w:rsid w:val="008D5CB8"/>
    <w:rsid w:val="008F22ED"/>
    <w:rsid w:val="00907ABE"/>
    <w:rsid w:val="009163F2"/>
    <w:rsid w:val="00935A10"/>
    <w:rsid w:val="009467A1"/>
    <w:rsid w:val="00976447"/>
    <w:rsid w:val="009863B1"/>
    <w:rsid w:val="00996E1D"/>
    <w:rsid w:val="009A4336"/>
    <w:rsid w:val="00A0305C"/>
    <w:rsid w:val="00A41D75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F2E5C"/>
    <w:rsid w:val="00B27B12"/>
    <w:rsid w:val="00B3219E"/>
    <w:rsid w:val="00B511A9"/>
    <w:rsid w:val="00BA142A"/>
    <w:rsid w:val="00C1631E"/>
    <w:rsid w:val="00C231AC"/>
    <w:rsid w:val="00C8050F"/>
    <w:rsid w:val="00CA522A"/>
    <w:rsid w:val="00CA780A"/>
    <w:rsid w:val="00CD5FA8"/>
    <w:rsid w:val="00CE5827"/>
    <w:rsid w:val="00CF09FC"/>
    <w:rsid w:val="00CF5535"/>
    <w:rsid w:val="00D01E8F"/>
    <w:rsid w:val="00D24915"/>
    <w:rsid w:val="00D46EF4"/>
    <w:rsid w:val="00D52AA0"/>
    <w:rsid w:val="00D56752"/>
    <w:rsid w:val="00D86168"/>
    <w:rsid w:val="00DA6A3F"/>
    <w:rsid w:val="00DA7CEC"/>
    <w:rsid w:val="00DB403D"/>
    <w:rsid w:val="00DC68B2"/>
    <w:rsid w:val="00DD6A9B"/>
    <w:rsid w:val="00DE4DBE"/>
    <w:rsid w:val="00DF6367"/>
    <w:rsid w:val="00E12F94"/>
    <w:rsid w:val="00E17E31"/>
    <w:rsid w:val="00E201C1"/>
    <w:rsid w:val="00E220A4"/>
    <w:rsid w:val="00E46D93"/>
    <w:rsid w:val="00E62A33"/>
    <w:rsid w:val="00E82621"/>
    <w:rsid w:val="00E8310F"/>
    <w:rsid w:val="00E90D5D"/>
    <w:rsid w:val="00EA3183"/>
    <w:rsid w:val="00EA42B3"/>
    <w:rsid w:val="00EC7E48"/>
    <w:rsid w:val="00ED6AAF"/>
    <w:rsid w:val="00EE21D0"/>
    <w:rsid w:val="00EF07DA"/>
    <w:rsid w:val="00F02A57"/>
    <w:rsid w:val="00F063FE"/>
    <w:rsid w:val="00F1435C"/>
    <w:rsid w:val="00F2580A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paragraph" w:styleId="Heading1">
    <w:name w:val="heading 1"/>
    <w:basedOn w:val="Normal"/>
    <w:next w:val="Normal"/>
    <w:link w:val="Heading1Char"/>
    <w:uiPriority w:val="9"/>
    <w:qFormat/>
    <w:rsid w:val="008158ED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character" w:customStyle="1" w:styleId="Heading1Char">
    <w:name w:val="Heading 1 Char"/>
    <w:basedOn w:val="DefaultParagraphFont"/>
    <w:link w:val="Heading1"/>
    <w:uiPriority w:val="9"/>
    <w:rsid w:val="008158ED"/>
    <w:rPr>
      <w:rFonts w:ascii="Arial" w:eastAsiaTheme="minorEastAsia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29</cp:revision>
  <dcterms:created xsi:type="dcterms:W3CDTF">2021-06-21T11:48:00Z</dcterms:created>
  <dcterms:modified xsi:type="dcterms:W3CDTF">2021-06-21T12:15:00Z</dcterms:modified>
</cp:coreProperties>
</file>