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46A33" w14:paraId="30B39469" w14:textId="77777777" w:rsidTr="00A46A3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46A33" w14:paraId="2494902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46A33" w14:paraId="3B3D8133" w14:textId="77777777">
                    <w:trPr>
                      <w:tblCellSpacing w:w="0" w:type="dxa"/>
                      <w:jc w:val="center"/>
                    </w:trPr>
                    <w:tc>
                      <w:tcPr>
                        <w:tcW w:w="3000" w:type="dxa"/>
                        <w:hideMark/>
                      </w:tcPr>
                      <w:p w14:paraId="47A5B5D5" w14:textId="1FC77F99" w:rsidR="00A46A33" w:rsidRDefault="00A46A33" w:rsidP="00A46A33">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1924CAE" w14:textId="77777777" w:rsidR="00A46A33" w:rsidRDefault="00A46A33">
                  <w:pPr>
                    <w:jc w:val="center"/>
                    <w:rPr>
                      <w:rFonts w:ascii="Times New Roman" w:eastAsia="Times New Roman" w:hAnsi="Times New Roman" w:cs="Times New Roman"/>
                      <w:sz w:val="20"/>
                      <w:szCs w:val="20"/>
                    </w:rPr>
                  </w:pPr>
                </w:p>
              </w:tc>
            </w:tr>
            <w:tr w:rsidR="00A46A33" w14:paraId="75D0B65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46A33" w14:paraId="632ED41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5770CB2" w14:textId="79DBFC64" w:rsidR="00A46A33" w:rsidRDefault="00A46A33">
                        <w:pPr>
                          <w:jc w:val="center"/>
                          <w:rPr>
                            <w:rFonts w:eastAsia="Times New Roman"/>
                          </w:rPr>
                        </w:pPr>
                        <w:r>
                          <w:rPr>
                            <w:rFonts w:eastAsia="Times New Roman"/>
                            <w:noProof/>
                          </w:rPr>
                          <w:drawing>
                            <wp:inline distT="0" distB="0" distL="0" distR="0" wp14:anchorId="4E6EB915" wp14:editId="7E8CC7D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46A33" w14:paraId="2A234931" w14:textId="77777777">
                    <w:trPr>
                      <w:tblCellSpacing w:w="0" w:type="dxa"/>
                    </w:trPr>
                    <w:tc>
                      <w:tcPr>
                        <w:tcW w:w="0" w:type="auto"/>
                        <w:vMerge/>
                        <w:tcBorders>
                          <w:top w:val="nil"/>
                          <w:left w:val="nil"/>
                          <w:bottom w:val="single" w:sz="2" w:space="0" w:color="FFFFFF"/>
                          <w:right w:val="nil"/>
                        </w:tcBorders>
                        <w:vAlign w:val="center"/>
                        <w:hideMark/>
                      </w:tcPr>
                      <w:p w14:paraId="168C595E" w14:textId="77777777" w:rsidR="00A46A33" w:rsidRDefault="00A46A33">
                        <w:pPr>
                          <w:rPr>
                            <w:rFonts w:eastAsia="Times New Roman"/>
                          </w:rPr>
                        </w:pPr>
                      </w:p>
                    </w:tc>
                    <w:tc>
                      <w:tcPr>
                        <w:tcW w:w="3450" w:type="dxa"/>
                        <w:tcBorders>
                          <w:top w:val="nil"/>
                          <w:left w:val="nil"/>
                          <w:bottom w:val="nil"/>
                          <w:right w:val="nil"/>
                        </w:tcBorders>
                        <w:vAlign w:val="center"/>
                        <w:hideMark/>
                      </w:tcPr>
                      <w:p w14:paraId="214D3627" w14:textId="77777777" w:rsidR="00A46A33" w:rsidRDefault="00A46A33">
                        <w:pPr>
                          <w:pStyle w:val="Heading1"/>
                          <w:rPr>
                            <w:rFonts w:eastAsia="Times New Roman"/>
                          </w:rPr>
                        </w:pPr>
                        <w:r>
                          <w:rPr>
                            <w:rFonts w:eastAsia="Times New Roman"/>
                          </w:rPr>
                          <w:t>Daily Update </w:t>
                        </w:r>
                      </w:p>
                    </w:tc>
                  </w:tr>
                  <w:tr w:rsidR="00A46A33" w14:paraId="1CE4D931" w14:textId="77777777">
                    <w:trPr>
                      <w:tblCellSpacing w:w="0" w:type="dxa"/>
                    </w:trPr>
                    <w:tc>
                      <w:tcPr>
                        <w:tcW w:w="0" w:type="auto"/>
                        <w:vMerge/>
                        <w:tcBorders>
                          <w:top w:val="nil"/>
                          <w:left w:val="nil"/>
                          <w:bottom w:val="single" w:sz="2" w:space="0" w:color="FFFFFF"/>
                          <w:right w:val="nil"/>
                        </w:tcBorders>
                        <w:vAlign w:val="center"/>
                        <w:hideMark/>
                      </w:tcPr>
                      <w:p w14:paraId="26BB9A2B" w14:textId="77777777" w:rsidR="00A46A33" w:rsidRDefault="00A46A3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6163466" w14:textId="77777777" w:rsidR="00A46A33" w:rsidRDefault="00A46A33">
                        <w:pPr>
                          <w:pStyle w:val="Heading2"/>
                          <w:rPr>
                            <w:rFonts w:eastAsia="Times New Roman"/>
                            <w:color w:val="93378A"/>
                          </w:rPr>
                        </w:pPr>
                        <w:r>
                          <w:rPr>
                            <w:rFonts w:eastAsia="Times New Roman"/>
                            <w:color w:val="93378A"/>
                          </w:rPr>
                          <w:t>Wednesday 21st July 2021</w:t>
                        </w:r>
                      </w:p>
                    </w:tc>
                  </w:tr>
                </w:tbl>
                <w:p w14:paraId="126CDFC1" w14:textId="77777777" w:rsidR="00A46A33" w:rsidRDefault="00A46A33">
                  <w:pPr>
                    <w:rPr>
                      <w:rFonts w:ascii="Times New Roman" w:eastAsia="Times New Roman" w:hAnsi="Times New Roman" w:cs="Times New Roman"/>
                      <w:sz w:val="20"/>
                      <w:szCs w:val="20"/>
                    </w:rPr>
                  </w:pPr>
                </w:p>
              </w:tc>
            </w:tr>
            <w:tr w:rsidR="00A46A33" w14:paraId="58F3E3B7" w14:textId="77777777">
              <w:tblPrEx>
                <w:shd w:val="clear" w:color="auto" w:fill="auto"/>
              </w:tblPrEx>
              <w:trPr>
                <w:tblCellSpacing w:w="0" w:type="dxa"/>
                <w:jc w:val="center"/>
              </w:trPr>
              <w:tc>
                <w:tcPr>
                  <w:tcW w:w="9000" w:type="dxa"/>
                  <w:hideMark/>
                </w:tcPr>
                <w:p w14:paraId="62F12A62" w14:textId="5F228E85" w:rsidR="00A46A33" w:rsidRDefault="00A46A33">
                  <w:pPr>
                    <w:rPr>
                      <w:rFonts w:eastAsia="Times New Roman"/>
                    </w:rPr>
                  </w:pPr>
                  <w:r>
                    <w:rPr>
                      <w:rFonts w:eastAsia="Times New Roman"/>
                      <w:noProof/>
                    </w:rPr>
                    <w:drawing>
                      <wp:inline distT="0" distB="0" distL="0" distR="0" wp14:anchorId="08BF4901" wp14:editId="4AF61F7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46A33" w14:paraId="7AEE19D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A46A33" w14:paraId="78687081" w14:textId="77777777">
                    <w:trPr>
                      <w:trHeight w:val="150"/>
                      <w:tblCellSpacing w:w="15" w:type="dxa"/>
                      <w:jc w:val="center"/>
                    </w:trPr>
                    <w:tc>
                      <w:tcPr>
                        <w:tcW w:w="150" w:type="dxa"/>
                        <w:vAlign w:val="center"/>
                        <w:hideMark/>
                      </w:tcPr>
                      <w:p w14:paraId="1F73D5D3" w14:textId="77777777" w:rsidR="00A46A33" w:rsidRDefault="00A46A33">
                        <w:pPr>
                          <w:rPr>
                            <w:rFonts w:eastAsia="Times New Roman"/>
                          </w:rPr>
                        </w:pPr>
                      </w:p>
                    </w:tc>
                    <w:tc>
                      <w:tcPr>
                        <w:tcW w:w="8700" w:type="dxa"/>
                        <w:vAlign w:val="center"/>
                        <w:hideMark/>
                      </w:tcPr>
                      <w:p w14:paraId="39DEBA2C" w14:textId="77777777" w:rsidR="00A46A33" w:rsidRDefault="00A46A33">
                        <w:pPr>
                          <w:rPr>
                            <w:rFonts w:ascii="Times New Roman" w:eastAsia="Times New Roman" w:hAnsi="Times New Roman" w:cs="Times New Roman"/>
                            <w:sz w:val="20"/>
                            <w:szCs w:val="20"/>
                          </w:rPr>
                        </w:pPr>
                      </w:p>
                    </w:tc>
                    <w:tc>
                      <w:tcPr>
                        <w:tcW w:w="150" w:type="dxa"/>
                        <w:vAlign w:val="center"/>
                        <w:hideMark/>
                      </w:tcPr>
                      <w:p w14:paraId="3098FE81" w14:textId="77777777" w:rsidR="00A46A33" w:rsidRDefault="00A46A33">
                        <w:pPr>
                          <w:rPr>
                            <w:rFonts w:ascii="Times New Roman" w:eastAsia="Times New Roman" w:hAnsi="Times New Roman" w:cs="Times New Roman"/>
                            <w:sz w:val="20"/>
                            <w:szCs w:val="20"/>
                          </w:rPr>
                        </w:pPr>
                      </w:p>
                    </w:tc>
                  </w:tr>
                  <w:tr w:rsidR="00A46A33" w14:paraId="222DF071" w14:textId="77777777">
                    <w:trPr>
                      <w:tblCellSpacing w:w="15" w:type="dxa"/>
                      <w:jc w:val="center"/>
                    </w:trPr>
                    <w:tc>
                      <w:tcPr>
                        <w:tcW w:w="150" w:type="dxa"/>
                        <w:vAlign w:val="center"/>
                        <w:hideMark/>
                      </w:tcPr>
                      <w:p w14:paraId="59B0F64E" w14:textId="77777777" w:rsidR="00A46A33" w:rsidRDefault="00A46A33">
                        <w:pPr>
                          <w:rPr>
                            <w:rFonts w:ascii="Times New Roman" w:eastAsia="Times New Roman" w:hAnsi="Times New Roman" w:cs="Times New Roman"/>
                            <w:sz w:val="20"/>
                            <w:szCs w:val="20"/>
                          </w:rPr>
                        </w:pPr>
                      </w:p>
                    </w:tc>
                    <w:tc>
                      <w:tcPr>
                        <w:tcW w:w="8700" w:type="dxa"/>
                        <w:vAlign w:val="center"/>
                        <w:hideMark/>
                      </w:tcPr>
                      <w:p w14:paraId="74E5E879" w14:textId="77777777" w:rsidR="00A46A33" w:rsidRDefault="00A46A33">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3145781" w14:textId="77777777" w:rsidR="00A46A33" w:rsidRDefault="00A46A3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D604DD5">
                            <v:rect id="_x0000_i1032" style="width:468pt;height:1.5pt" o:hralign="center" o:hrstd="t" o:hr="t" fillcolor="#a0a0a0" stroked="f"/>
                          </w:pict>
                        </w:r>
                      </w:p>
                      <w:p w14:paraId="2E6DB8EB" w14:textId="77777777" w:rsidR="00A46A33" w:rsidRDefault="00A46A33">
                        <w:pPr>
                          <w:pStyle w:val="Heading2"/>
                          <w:rPr>
                            <w:rFonts w:eastAsia="Times New Roman"/>
                          </w:rPr>
                        </w:pPr>
                        <w:r>
                          <w:rPr>
                            <w:rFonts w:eastAsia="Times New Roman"/>
                          </w:rPr>
                          <w:t>In today's update: Primary care working arrangements; PSNC webinars; cyber technology factsheet.</w:t>
                        </w:r>
                      </w:p>
                      <w:p w14:paraId="425BED08" w14:textId="77777777" w:rsidR="00A46A33" w:rsidRDefault="00A46A3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296AD22">
                            <v:rect id="_x0000_i1033" style="width:468pt;height:1.5pt" o:hralign="center" o:hrstd="t" o:hr="t" fillcolor="#a0a0a0" stroked="f"/>
                          </w:pict>
                        </w:r>
                      </w:p>
                      <w:p w14:paraId="5BA127B1" w14:textId="77777777" w:rsidR="00A46A33" w:rsidRDefault="00A46A33">
                        <w:pPr>
                          <w:pStyle w:val="Heading3"/>
                          <w:rPr>
                            <w:rFonts w:eastAsia="Times New Roman"/>
                          </w:rPr>
                        </w:pPr>
                        <w:r>
                          <w:rPr>
                            <w:rFonts w:eastAsia="Times New Roman"/>
                          </w:rPr>
                          <w:t xml:space="preserve">Updated working arrangements for primary </w:t>
                        </w:r>
                        <w:proofErr w:type="gramStart"/>
                        <w:r>
                          <w:rPr>
                            <w:rFonts w:eastAsia="Times New Roman"/>
                          </w:rPr>
                          <w:t>care</w:t>
                        </w:r>
                        <w:proofErr w:type="gramEnd"/>
                        <w:r>
                          <w:rPr>
                            <w:rFonts w:eastAsia="Times New Roman"/>
                          </w:rPr>
                          <w:t> </w:t>
                        </w:r>
                      </w:p>
                      <w:p w14:paraId="507C9EB2" w14:textId="69EC45CE" w:rsidR="00A46A33" w:rsidRDefault="00A46A33" w:rsidP="00A46A3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England's move to step 4 of the Government’s COVID-19 response on </w:t>
                        </w:r>
                        <w:r>
                          <w:rPr>
                            <w:rStyle w:val="Strong"/>
                            <w:rFonts w:ascii="Tahoma" w:eastAsia="Times New Roman" w:hAnsi="Tahoma" w:cs="Tahoma"/>
                            <w:color w:val="303030"/>
                            <w:sz w:val="21"/>
                            <w:szCs w:val="21"/>
                          </w:rPr>
                          <w:t>Monday (19th July 2021)</w:t>
                        </w:r>
                        <w:r>
                          <w:rPr>
                            <w:rFonts w:ascii="Tahoma" w:eastAsia="Times New Roman" w:hAnsi="Tahoma" w:cs="Tahoma"/>
                            <w:color w:val="303030"/>
                            <w:sz w:val="21"/>
                            <w:szCs w:val="21"/>
                          </w:rPr>
                          <w:t xml:space="preserve">, NHS England and NHS Improvement (NHSE&amp;I) issued a letter to all primary care contractors outlining their continuing expectations across primary care in relation to access, infection prevention and control, and continuing contractual arrangements. </w:t>
                        </w:r>
                      </w:p>
                      <w:p w14:paraId="57E0F3FF" w14:textId="77777777" w:rsidR="00A46A33" w:rsidRDefault="00A46A33" w:rsidP="00A46A33">
                        <w:pPr>
                          <w:pStyle w:val="NormalWeb"/>
                          <w:spacing w:line="264" w:lineRule="auto"/>
                          <w:rPr>
                            <w:rFonts w:ascii="Tahoma" w:hAnsi="Tahoma" w:cs="Tahoma"/>
                            <w:color w:val="303030"/>
                            <w:sz w:val="21"/>
                            <w:szCs w:val="21"/>
                          </w:rPr>
                        </w:pPr>
                        <w:r>
                          <w:rPr>
                            <w:rFonts w:ascii="Tahoma" w:hAnsi="Tahoma" w:cs="Tahoma"/>
                            <w:color w:val="303030"/>
                            <w:sz w:val="21"/>
                            <w:szCs w:val="21"/>
                          </w:rPr>
                          <w:t>The NHSE&amp;I letter notes that until further notice, the </w:t>
                        </w:r>
                        <w:hyperlink r:id="rId8" w:tgtFrame="_blank" w:history="1">
                          <w:r>
                            <w:rPr>
                              <w:rStyle w:val="Hyperlink"/>
                              <w:rFonts w:ascii="Tahoma" w:hAnsi="Tahoma" w:cs="Tahoma"/>
                              <w:b/>
                              <w:bCs/>
                              <w:color w:val="4E3487"/>
                              <w:sz w:val="21"/>
                              <w:szCs w:val="21"/>
                            </w:rPr>
                            <w:t>existing COVID-19 Infection Prevention Control (IPC) guidance</w:t>
                          </w:r>
                        </w:hyperlink>
                        <w:r>
                          <w:rPr>
                            <w:rFonts w:ascii="Tahoma" w:hAnsi="Tahoma" w:cs="Tahoma"/>
                            <w:color w:val="303030"/>
                            <w:sz w:val="21"/>
                            <w:szCs w:val="21"/>
                          </w:rPr>
                          <w:t> continues to apply in healthcare settings and that all primary care contractors, including community pharmacies, should continue to follow this guidance. </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about the NHSE&amp;I letter</w:t>
                          </w:r>
                        </w:hyperlink>
                      </w:p>
                      <w:p w14:paraId="6BFD559A" w14:textId="77777777" w:rsidR="00A46A33" w:rsidRDefault="00A46A3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97CD980">
                            <v:rect id="_x0000_i1034" style="width:468pt;height:1.5pt" o:hralign="center" o:hrstd="t" o:hr="t" fillcolor="#a0a0a0" stroked="f"/>
                          </w:pict>
                        </w:r>
                      </w:p>
                      <w:p w14:paraId="70C9D839" w14:textId="77777777" w:rsidR="00A46A33" w:rsidRDefault="00A46A33">
                        <w:pPr>
                          <w:pStyle w:val="Heading3"/>
                          <w:rPr>
                            <w:rFonts w:eastAsia="Times New Roman"/>
                          </w:rPr>
                        </w:pPr>
                        <w:r>
                          <w:rPr>
                            <w:rFonts w:eastAsia="Times New Roman"/>
                          </w:rPr>
                          <w:t>Dates for your diary: PSNC webinars </w:t>
                        </w:r>
                      </w:p>
                      <w:p w14:paraId="0A78F67A" w14:textId="79D0AD4E" w:rsidR="00A46A33" w:rsidRDefault="00A46A33" w:rsidP="00A46A3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would like to draw your attention to two upcoming webinars hosted by PSNC. These online events are part of an educational series aiming to make our guidance more accessible and provide pharmacy professionals with the opportunity to have their questions answered live.  </w:t>
                        </w:r>
                      </w:p>
                      <w:p w14:paraId="5D944BDC" w14:textId="77777777" w:rsidR="00A46A33" w:rsidRDefault="00A46A33" w:rsidP="00A46A33">
                        <w:pPr>
                          <w:pStyle w:val="NormalWeb"/>
                          <w:spacing w:line="264" w:lineRule="auto"/>
                          <w:rPr>
                            <w:rFonts w:ascii="Tahoma" w:hAnsi="Tahoma" w:cs="Tahoma"/>
                            <w:color w:val="303030"/>
                            <w:sz w:val="21"/>
                            <w:szCs w:val="21"/>
                          </w:rPr>
                        </w:pPr>
                        <w:hyperlink r:id="rId10" w:tgtFrame="_blank" w:history="1">
                          <w:r>
                            <w:rPr>
                              <w:rStyle w:val="Strong"/>
                              <w:rFonts w:ascii="Tahoma" w:hAnsi="Tahoma" w:cs="Tahoma"/>
                              <w:color w:val="4E3487"/>
                              <w:sz w:val="21"/>
                              <w:szCs w:val="21"/>
                            </w:rPr>
                            <w:t>Rural Regulations workshop</w:t>
                          </w:r>
                        </w:hyperlink>
                        <w:r>
                          <w:rPr>
                            <w:rFonts w:ascii="Tahoma" w:hAnsi="Tahoma" w:cs="Tahoma"/>
                            <w:color w:val="303030"/>
                            <w:sz w:val="21"/>
                            <w:szCs w:val="21"/>
                          </w:rPr>
                          <w:br/>
                        </w:r>
                        <w:r>
                          <w:rPr>
                            <w:rStyle w:val="Strong"/>
                            <w:rFonts w:ascii="Tahoma" w:hAnsi="Tahoma" w:cs="Tahoma"/>
                            <w:color w:val="303030"/>
                            <w:sz w:val="21"/>
                            <w:szCs w:val="21"/>
                          </w:rPr>
                          <w:t>Monday 26th July, 2.00-4.00pm</w:t>
                        </w:r>
                        <w:r>
                          <w:rPr>
                            <w:rFonts w:ascii="Tahoma" w:hAnsi="Tahoma" w:cs="Tahoma"/>
                            <w:color w:val="303030"/>
                            <w:sz w:val="21"/>
                            <w:szCs w:val="21"/>
                          </w:rPr>
                          <w:br/>
                          <w:t xml:space="preserve">PSNC's Rural Regulations workshop aims to </w:t>
                        </w:r>
                        <w:proofErr w:type="gramStart"/>
                        <w:r>
                          <w:rPr>
                            <w:rFonts w:ascii="Tahoma" w:hAnsi="Tahoma" w:cs="Tahoma"/>
                            <w:color w:val="303030"/>
                            <w:sz w:val="21"/>
                            <w:szCs w:val="21"/>
                          </w:rPr>
                          <w:t>provide an introduction to</w:t>
                        </w:r>
                        <w:proofErr w:type="gramEnd"/>
                        <w:r>
                          <w:rPr>
                            <w:rFonts w:ascii="Tahoma" w:hAnsi="Tahoma" w:cs="Tahoma"/>
                            <w:color w:val="303030"/>
                            <w:sz w:val="21"/>
                            <w:szCs w:val="21"/>
                          </w:rPr>
                          <w:t xml:space="preserve"> the regulatory framework and bust some of the myths that exist. It will cover controlled localities, reserved locations, historic rights, outline consent and more. </w:t>
                        </w:r>
                        <w:hyperlink r:id="rId11" w:tgtFrame="_blank" w:history="1">
                          <w:r>
                            <w:rPr>
                              <w:rStyle w:val="Hyperlink"/>
                              <w:rFonts w:ascii="Tahoma" w:hAnsi="Tahoma" w:cs="Tahoma"/>
                              <w:b/>
                              <w:bCs/>
                              <w:color w:val="4E3487"/>
                              <w:sz w:val="21"/>
                              <w:szCs w:val="21"/>
                            </w:rPr>
                            <w:t>Book your place here</w:t>
                          </w:r>
                        </w:hyperlink>
                        <w:r>
                          <w:rPr>
                            <w:rFonts w:ascii="Tahoma" w:hAnsi="Tahoma" w:cs="Tahoma"/>
                            <w:color w:val="303030"/>
                            <w:sz w:val="21"/>
                            <w:szCs w:val="21"/>
                          </w:rPr>
                          <w:t>. </w:t>
                        </w:r>
                      </w:p>
                      <w:p w14:paraId="1D2F10D7" w14:textId="77777777" w:rsidR="00A46A33" w:rsidRDefault="00A46A33" w:rsidP="00A46A33">
                        <w:pPr>
                          <w:pStyle w:val="NormalWeb"/>
                          <w:spacing w:line="264" w:lineRule="auto"/>
                          <w:rPr>
                            <w:rFonts w:ascii="Tahoma" w:hAnsi="Tahoma" w:cs="Tahoma"/>
                            <w:color w:val="303030"/>
                            <w:sz w:val="21"/>
                            <w:szCs w:val="21"/>
                          </w:rPr>
                        </w:pPr>
                        <w:hyperlink r:id="rId12" w:tgtFrame="_blank" w:history="1">
                          <w:r>
                            <w:rPr>
                              <w:rStyle w:val="Strong"/>
                              <w:rFonts w:ascii="Tahoma" w:hAnsi="Tahoma" w:cs="Tahoma"/>
                              <w:color w:val="4E3487"/>
                              <w:sz w:val="21"/>
                              <w:szCs w:val="21"/>
                            </w:rPr>
                            <w:t>Dispensing Controlled Drugs webinar</w:t>
                          </w:r>
                        </w:hyperlink>
                        <w:r>
                          <w:rPr>
                            <w:rFonts w:ascii="Tahoma" w:hAnsi="Tahoma" w:cs="Tahoma"/>
                            <w:color w:val="303030"/>
                            <w:sz w:val="21"/>
                            <w:szCs w:val="21"/>
                          </w:rPr>
                          <w:br/>
                        </w:r>
                        <w:r>
                          <w:rPr>
                            <w:rStyle w:val="Strong"/>
                            <w:rFonts w:ascii="Tahoma" w:hAnsi="Tahoma" w:cs="Tahoma"/>
                            <w:color w:val="303030"/>
                            <w:sz w:val="21"/>
                            <w:szCs w:val="21"/>
                          </w:rPr>
                          <w:t>Tuesday 27th July, 7.00-8.00pm</w:t>
                        </w:r>
                        <w:r>
                          <w:rPr>
                            <w:rFonts w:ascii="Tahoma" w:hAnsi="Tahoma" w:cs="Tahoma"/>
                            <w:color w:val="303030"/>
                            <w:sz w:val="21"/>
                            <w:szCs w:val="21"/>
                          </w:rPr>
                          <w:br/>
                          <w:t>This one-hour webinar aims to provide staff working in community pharmacy settings with information on dispensing, endorsing and submission of Controlled Drug (CD) prescriptions. </w:t>
                        </w:r>
                        <w:hyperlink r:id="rId13" w:tgtFrame="_blank" w:history="1">
                          <w:r>
                            <w:rPr>
                              <w:rStyle w:val="Hyperlink"/>
                              <w:rFonts w:ascii="Tahoma" w:hAnsi="Tahoma" w:cs="Tahoma"/>
                              <w:b/>
                              <w:bCs/>
                              <w:color w:val="4E3487"/>
                              <w:sz w:val="21"/>
                              <w:szCs w:val="21"/>
                            </w:rPr>
                            <w:t>Book your place here</w:t>
                          </w:r>
                        </w:hyperlink>
                        <w:r>
                          <w:rPr>
                            <w:rFonts w:ascii="Tahoma" w:hAnsi="Tahoma" w:cs="Tahoma"/>
                            <w:color w:val="303030"/>
                            <w:sz w:val="21"/>
                            <w:szCs w:val="21"/>
                          </w:rPr>
                          <w:t>.</w:t>
                        </w:r>
                      </w:p>
                      <w:p w14:paraId="31A5BA62" w14:textId="77777777" w:rsidR="00A46A33" w:rsidRDefault="00A46A33" w:rsidP="00A46A3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55B0EFC5">
                            <v:rect id="_x0000_i1035" style="width:468pt;height:1.5pt" o:hrstd="t" o:hr="t" fillcolor="#a0a0a0" stroked="f"/>
                          </w:pict>
                        </w:r>
                      </w:p>
                      <w:p w14:paraId="3DEC16DF" w14:textId="77777777" w:rsidR="00A46A33" w:rsidRDefault="00A46A33">
                        <w:pPr>
                          <w:pStyle w:val="Heading3"/>
                          <w:rPr>
                            <w:rFonts w:eastAsia="Times New Roman"/>
                          </w:rPr>
                        </w:pPr>
                        <w:r>
                          <w:rPr>
                            <w:rFonts w:eastAsia="Times New Roman"/>
                          </w:rPr>
                          <w:t>Using cyber technology factsheet</w:t>
                        </w:r>
                      </w:p>
                      <w:p w14:paraId="2536379D" w14:textId="0FE9077B" w:rsidR="00A46A33" w:rsidRDefault="00A46A33" w:rsidP="00A46A3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worked with </w:t>
                        </w:r>
                        <w:hyperlink r:id="rId14" w:tgtFrame="_blank" w:tooltip="https://psnc.org.uk/the-healthcare-landscape/healthcare-whos-who/nhsx/" w:history="1">
                          <w:r>
                            <w:rPr>
                              <w:rStyle w:val="Strong"/>
                              <w:rFonts w:ascii="Tahoma" w:eastAsia="Times New Roman" w:hAnsi="Tahoma" w:cs="Tahoma"/>
                              <w:color w:val="4E3487"/>
                              <w:sz w:val="21"/>
                              <w:szCs w:val="21"/>
                            </w:rPr>
                            <w:t>NHSX</w:t>
                          </w:r>
                        </w:hyperlink>
                        <w:r>
                          <w:rPr>
                            <w:rFonts w:ascii="Tahoma" w:eastAsia="Times New Roman" w:hAnsi="Tahoma" w:cs="Tahoma"/>
                            <w:color w:val="303030"/>
                            <w:sz w:val="21"/>
                            <w:szCs w:val="21"/>
                          </w:rPr>
                          <w:t> to produce a factsheet about the range of digital communications tools available to help provide patient care, particularly during the ongoing COVID-19 pandemic. We hope these top tips on using cyber technology are beneficial for community pharmacy teams.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Download a copy of this factsheet</w:t>
                          </w:r>
                        </w:hyperlink>
                        <w:r>
                          <w:rPr>
                            <w:rFonts w:ascii="Tahoma" w:eastAsia="Times New Roman" w:hAnsi="Tahoma" w:cs="Tahoma"/>
                            <w:color w:val="303030"/>
                            <w:sz w:val="21"/>
                            <w:szCs w:val="21"/>
                          </w:rPr>
                          <w:t> </w:t>
                        </w:r>
                      </w:p>
                    </w:tc>
                    <w:tc>
                      <w:tcPr>
                        <w:tcW w:w="150" w:type="dxa"/>
                        <w:vAlign w:val="center"/>
                        <w:hideMark/>
                      </w:tcPr>
                      <w:p w14:paraId="2C004A44" w14:textId="77777777" w:rsidR="00A46A33" w:rsidRDefault="00A46A33">
                        <w:pPr>
                          <w:rPr>
                            <w:rFonts w:ascii="Tahoma" w:eastAsia="Times New Roman" w:hAnsi="Tahoma" w:cs="Tahoma"/>
                            <w:color w:val="303030"/>
                            <w:sz w:val="21"/>
                            <w:szCs w:val="21"/>
                          </w:rPr>
                        </w:pPr>
                      </w:p>
                    </w:tc>
                  </w:tr>
                  <w:tr w:rsidR="00A46A33" w14:paraId="398A185E" w14:textId="77777777">
                    <w:trPr>
                      <w:trHeight w:val="150"/>
                      <w:tblCellSpacing w:w="15" w:type="dxa"/>
                      <w:jc w:val="center"/>
                    </w:trPr>
                    <w:tc>
                      <w:tcPr>
                        <w:tcW w:w="150" w:type="dxa"/>
                        <w:vAlign w:val="center"/>
                        <w:hideMark/>
                      </w:tcPr>
                      <w:p w14:paraId="576DDB71" w14:textId="77777777" w:rsidR="00A46A33" w:rsidRDefault="00A46A33">
                        <w:pPr>
                          <w:rPr>
                            <w:rFonts w:ascii="Times New Roman" w:eastAsia="Times New Roman" w:hAnsi="Times New Roman" w:cs="Times New Roman"/>
                            <w:sz w:val="20"/>
                            <w:szCs w:val="20"/>
                          </w:rPr>
                        </w:pPr>
                      </w:p>
                    </w:tc>
                    <w:tc>
                      <w:tcPr>
                        <w:tcW w:w="8700" w:type="dxa"/>
                        <w:vAlign w:val="center"/>
                        <w:hideMark/>
                      </w:tcPr>
                      <w:p w14:paraId="2C886754" w14:textId="77777777" w:rsidR="00A46A33" w:rsidRDefault="00A46A33">
                        <w:pPr>
                          <w:rPr>
                            <w:rFonts w:ascii="Times New Roman" w:eastAsia="Times New Roman" w:hAnsi="Times New Roman" w:cs="Times New Roman"/>
                            <w:sz w:val="20"/>
                            <w:szCs w:val="20"/>
                          </w:rPr>
                        </w:pPr>
                      </w:p>
                    </w:tc>
                    <w:tc>
                      <w:tcPr>
                        <w:tcW w:w="150" w:type="dxa"/>
                        <w:vAlign w:val="center"/>
                        <w:hideMark/>
                      </w:tcPr>
                      <w:p w14:paraId="07F0BCDD" w14:textId="77777777" w:rsidR="00A46A33" w:rsidRDefault="00A46A33">
                        <w:pPr>
                          <w:rPr>
                            <w:rFonts w:ascii="Times New Roman" w:eastAsia="Times New Roman" w:hAnsi="Times New Roman" w:cs="Times New Roman"/>
                            <w:sz w:val="20"/>
                            <w:szCs w:val="20"/>
                          </w:rPr>
                        </w:pPr>
                      </w:p>
                    </w:tc>
                  </w:tr>
                </w:tbl>
                <w:p w14:paraId="01D59CD4" w14:textId="77777777" w:rsidR="00A46A33" w:rsidRDefault="00A46A33">
                  <w:pPr>
                    <w:jc w:val="center"/>
                    <w:rPr>
                      <w:rFonts w:ascii="Times New Roman" w:eastAsia="Times New Roman" w:hAnsi="Times New Roman" w:cs="Times New Roman"/>
                      <w:sz w:val="20"/>
                      <w:szCs w:val="20"/>
                    </w:rPr>
                  </w:pPr>
                </w:p>
              </w:tc>
            </w:tr>
          </w:tbl>
          <w:p w14:paraId="1B6299D1" w14:textId="77777777" w:rsidR="00A46A33" w:rsidRDefault="00A46A33">
            <w:pPr>
              <w:jc w:val="center"/>
              <w:rPr>
                <w:rFonts w:ascii="Times New Roman" w:eastAsia="Times New Roman" w:hAnsi="Times New Roman" w:cs="Times New Roman"/>
                <w:sz w:val="20"/>
                <w:szCs w:val="20"/>
              </w:rPr>
            </w:pPr>
          </w:p>
        </w:tc>
      </w:tr>
      <w:tr w:rsidR="00A46A33" w14:paraId="261E00AC" w14:textId="77777777" w:rsidTr="00A46A3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46A33" w14:paraId="721411A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46A33" w14:paraId="3C346037" w14:textId="77777777">
                    <w:trPr>
                      <w:tblCellSpacing w:w="0" w:type="dxa"/>
                      <w:jc w:val="center"/>
                    </w:trPr>
                    <w:tc>
                      <w:tcPr>
                        <w:tcW w:w="3000" w:type="dxa"/>
                        <w:tcMar>
                          <w:top w:w="30" w:type="dxa"/>
                          <w:left w:w="75" w:type="dxa"/>
                          <w:bottom w:w="30" w:type="dxa"/>
                          <w:right w:w="75" w:type="dxa"/>
                        </w:tcMar>
                        <w:hideMark/>
                      </w:tcPr>
                      <w:p w14:paraId="74513D6F" w14:textId="77777777" w:rsidR="00A46A33" w:rsidRDefault="00A46A33">
                        <w:pPr>
                          <w:pStyle w:val="Heading4"/>
                          <w:jc w:val="center"/>
                          <w:rPr>
                            <w:rFonts w:eastAsia="Times New Roman"/>
                          </w:rPr>
                        </w:pPr>
                        <w:r>
                          <w:rPr>
                            <w:rFonts w:eastAsia="Times New Roman"/>
                          </w:rPr>
                          <w:lastRenderedPageBreak/>
                          <w:t>Pharmaceutical Services Negotiating Committee</w:t>
                        </w:r>
                      </w:p>
                      <w:p w14:paraId="6BAEBB7D" w14:textId="06D1B1CE" w:rsidR="00A46A33" w:rsidRDefault="00A46A3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FEB4476" wp14:editId="67BADD89">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AE5248" wp14:editId="7897F1A3">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D979841" wp14:editId="1ABA3200">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BB8D872" wp14:editId="7C6ECC76">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95BA778" w14:textId="77777777" w:rsidR="00A46A33" w:rsidRDefault="00A46A3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46A33" w14:paraId="216A7A0B" w14:textId="77777777">
                    <w:trPr>
                      <w:trHeight w:val="450"/>
                      <w:tblCellSpacing w:w="0" w:type="dxa"/>
                      <w:jc w:val="center"/>
                    </w:trPr>
                    <w:tc>
                      <w:tcPr>
                        <w:tcW w:w="9000" w:type="dxa"/>
                        <w:tcMar>
                          <w:top w:w="150" w:type="dxa"/>
                          <w:left w:w="0" w:type="dxa"/>
                          <w:bottom w:w="0" w:type="dxa"/>
                          <w:right w:w="0" w:type="dxa"/>
                        </w:tcMar>
                        <w:vAlign w:val="center"/>
                        <w:hideMark/>
                      </w:tcPr>
                      <w:p w14:paraId="405BEB9B" w14:textId="7B65EAAE" w:rsidR="00A46A33" w:rsidRDefault="00A46A33">
                        <w:pPr>
                          <w:jc w:val="center"/>
                          <w:rPr>
                            <w:rFonts w:ascii="Arial" w:eastAsia="Times New Roman" w:hAnsi="Arial" w:cs="Arial"/>
                            <w:color w:val="FFFFFF"/>
                            <w:sz w:val="17"/>
                            <w:szCs w:val="17"/>
                          </w:rPr>
                        </w:pPr>
                      </w:p>
                    </w:tc>
                  </w:tr>
                </w:tbl>
                <w:p w14:paraId="0CD8BE95" w14:textId="77777777" w:rsidR="00A46A33" w:rsidRDefault="00A46A33">
                  <w:pPr>
                    <w:jc w:val="center"/>
                    <w:rPr>
                      <w:rFonts w:ascii="Times New Roman" w:eastAsia="Times New Roman" w:hAnsi="Times New Roman" w:cs="Times New Roman"/>
                      <w:sz w:val="20"/>
                      <w:szCs w:val="20"/>
                    </w:rPr>
                  </w:pPr>
                </w:p>
              </w:tc>
            </w:tr>
          </w:tbl>
          <w:p w14:paraId="06F5FE00" w14:textId="77777777" w:rsidR="00A46A33" w:rsidRDefault="00A46A33">
            <w:pPr>
              <w:jc w:val="center"/>
              <w:rPr>
                <w:rFonts w:ascii="Times New Roman" w:eastAsia="Times New Roman" w:hAnsi="Times New Roman" w:cs="Times New Roman"/>
                <w:sz w:val="20"/>
                <w:szCs w:val="20"/>
              </w:rPr>
            </w:pPr>
          </w:p>
        </w:tc>
      </w:tr>
    </w:tbl>
    <w:p w14:paraId="680C8293" w14:textId="3B9D93FD" w:rsidR="00A46A33" w:rsidRDefault="00A46A33" w:rsidP="00A46A33">
      <w:pPr>
        <w:rPr>
          <w:rFonts w:eastAsia="Times New Roman"/>
        </w:rPr>
      </w:pPr>
      <w:r>
        <w:rPr>
          <w:rFonts w:eastAsia="Times New Roman"/>
          <w:noProof/>
        </w:rPr>
        <w:drawing>
          <wp:inline distT="0" distB="0" distL="0" distR="0" wp14:anchorId="1D54574C" wp14:editId="5B9699F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D3721F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33"/>
    <w:rsid w:val="00A46A3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8B8D"/>
  <w15:chartTrackingRefBased/>
  <w15:docId w15:val="{A4E556E1-27A4-407F-9802-CE004DC6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33"/>
    <w:rPr>
      <w:rFonts w:ascii="Calibri" w:hAnsi="Calibri" w:cs="Calibri"/>
      <w:lang w:eastAsia="en-GB"/>
    </w:rPr>
  </w:style>
  <w:style w:type="paragraph" w:styleId="Heading1">
    <w:name w:val="heading 1"/>
    <w:basedOn w:val="Normal"/>
    <w:link w:val="Heading1Char"/>
    <w:uiPriority w:val="9"/>
    <w:qFormat/>
    <w:rsid w:val="00A46A3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46A3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A46A3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A46A3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3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46A33"/>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A46A33"/>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A46A33"/>
    <w:rPr>
      <w:rFonts w:ascii="Tahoma" w:hAnsi="Tahoma" w:cs="Tahoma"/>
      <w:b/>
      <w:bCs/>
      <w:color w:val="FFFFFF"/>
      <w:sz w:val="18"/>
      <w:szCs w:val="18"/>
      <w:lang w:eastAsia="en-GB"/>
    </w:rPr>
  </w:style>
  <w:style w:type="paragraph" w:styleId="NormalWeb">
    <w:name w:val="Normal (Web)"/>
    <w:basedOn w:val="Normal"/>
    <w:uiPriority w:val="99"/>
    <w:semiHidden/>
    <w:unhideWhenUsed/>
    <w:rsid w:val="00A46A33"/>
    <w:pPr>
      <w:spacing w:before="100" w:beforeAutospacing="1" w:after="100" w:afterAutospacing="1"/>
    </w:pPr>
  </w:style>
  <w:style w:type="character" w:styleId="Strong">
    <w:name w:val="Strong"/>
    <w:basedOn w:val="DefaultParagraphFont"/>
    <w:uiPriority w:val="22"/>
    <w:qFormat/>
    <w:rsid w:val="00A46A33"/>
    <w:rPr>
      <w:b/>
      <w:bCs/>
    </w:rPr>
  </w:style>
  <w:style w:type="character" w:styleId="Hyperlink">
    <w:name w:val="Hyperlink"/>
    <w:basedOn w:val="DefaultParagraphFont"/>
    <w:uiPriority w:val="99"/>
    <w:semiHidden/>
    <w:unhideWhenUsed/>
    <w:rsid w:val="00A46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494339bec&amp;e=d19e9fd41c" TargetMode="External"/><Relationship Id="rId13" Type="http://schemas.openxmlformats.org/officeDocument/2006/relationships/hyperlink" Target="https://psnc.us7.list-manage.com/track/click?u=86d41ab7fa4c7c2c5d7210782&amp;id=dba9dd17ec&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ea94027f4&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6e47c9516a&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17019c57cb&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0861613da&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4bfcd292ea&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2e3f775db1&amp;e=d19e9fd41c" TargetMode="External"/><Relationship Id="rId19" Type="http://schemas.openxmlformats.org/officeDocument/2006/relationships/hyperlink" Target="https://psnc.us7.list-manage.com/track/click?u=86d41ab7fa4c7c2c5d7210782&amp;id=bb0e9f66e3&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112324a644&amp;e=d19e9fd41c" TargetMode="External"/><Relationship Id="rId14" Type="http://schemas.openxmlformats.org/officeDocument/2006/relationships/hyperlink" Target="https://psnc.us7.list-manage.com/track/click?u=86d41ab7fa4c7c2c5d7210782&amp;id=3671956a8e&amp;e=d19e9fd41c" TargetMode="External"/><Relationship Id="rId22" Type="http://schemas.openxmlformats.org/officeDocument/2006/relationships/hyperlink" Target="https://psnc.us7.list-manage.com/track/click?u=86d41ab7fa4c7c2c5d7210782&amp;id=8d71c51c7e&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e5166ea875&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2021-07-21T16:05:00Z</dcterms:created>
  <dcterms:modified xsi:type="dcterms:W3CDTF">2021-07-21T16:07:00Z</dcterms:modified>
</cp:coreProperties>
</file>