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225D4" w14:paraId="1B4FDEA1" w14:textId="77777777" w:rsidTr="00F225D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225D4" w14:paraId="6D92F2F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225D4" w14:paraId="4AE95B5D" w14:textId="77777777">
                    <w:trPr>
                      <w:tblCellSpacing w:w="0" w:type="dxa"/>
                      <w:jc w:val="center"/>
                    </w:trPr>
                    <w:tc>
                      <w:tcPr>
                        <w:tcW w:w="3000" w:type="dxa"/>
                        <w:hideMark/>
                      </w:tcPr>
                      <w:p w14:paraId="46C6925A" w14:textId="74D8AA45" w:rsidR="00F225D4" w:rsidRDefault="00F225D4" w:rsidP="00F225D4">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562E25D" w14:textId="77777777" w:rsidR="00F225D4" w:rsidRDefault="00F225D4">
                  <w:pPr>
                    <w:jc w:val="center"/>
                    <w:rPr>
                      <w:rFonts w:ascii="Times New Roman" w:eastAsia="Times New Roman" w:hAnsi="Times New Roman" w:cs="Times New Roman"/>
                      <w:sz w:val="20"/>
                      <w:szCs w:val="20"/>
                    </w:rPr>
                  </w:pPr>
                </w:p>
              </w:tc>
            </w:tr>
            <w:tr w:rsidR="00F225D4" w14:paraId="0163D038"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225D4" w14:paraId="7CDFC72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2F9312A" w14:textId="0AA21FB6" w:rsidR="00F225D4" w:rsidRDefault="00F225D4">
                        <w:pPr>
                          <w:jc w:val="center"/>
                          <w:rPr>
                            <w:rFonts w:eastAsia="Times New Roman"/>
                          </w:rPr>
                        </w:pPr>
                        <w:r>
                          <w:rPr>
                            <w:rFonts w:eastAsia="Times New Roman"/>
                            <w:noProof/>
                          </w:rPr>
                          <w:drawing>
                            <wp:inline distT="0" distB="0" distL="0" distR="0" wp14:anchorId="222D6DC9" wp14:editId="1A03460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F225D4" w14:paraId="107ED9C7" w14:textId="77777777">
                    <w:trPr>
                      <w:tblCellSpacing w:w="0" w:type="dxa"/>
                    </w:trPr>
                    <w:tc>
                      <w:tcPr>
                        <w:tcW w:w="0" w:type="auto"/>
                        <w:vMerge/>
                        <w:tcBorders>
                          <w:top w:val="nil"/>
                          <w:left w:val="nil"/>
                          <w:bottom w:val="single" w:sz="2" w:space="0" w:color="FFFFFF"/>
                          <w:right w:val="nil"/>
                        </w:tcBorders>
                        <w:vAlign w:val="center"/>
                        <w:hideMark/>
                      </w:tcPr>
                      <w:p w14:paraId="2FE864DC" w14:textId="77777777" w:rsidR="00F225D4" w:rsidRDefault="00F225D4">
                        <w:pPr>
                          <w:rPr>
                            <w:rFonts w:eastAsia="Times New Roman"/>
                          </w:rPr>
                        </w:pPr>
                      </w:p>
                    </w:tc>
                    <w:tc>
                      <w:tcPr>
                        <w:tcW w:w="3450" w:type="dxa"/>
                        <w:tcBorders>
                          <w:top w:val="nil"/>
                          <w:left w:val="nil"/>
                          <w:bottom w:val="nil"/>
                          <w:right w:val="nil"/>
                        </w:tcBorders>
                        <w:vAlign w:val="center"/>
                        <w:hideMark/>
                      </w:tcPr>
                      <w:p w14:paraId="0172143B" w14:textId="77777777" w:rsidR="00F225D4" w:rsidRDefault="00F225D4">
                        <w:pPr>
                          <w:pStyle w:val="Heading1"/>
                          <w:rPr>
                            <w:rFonts w:eastAsia="Times New Roman"/>
                          </w:rPr>
                        </w:pPr>
                        <w:r>
                          <w:rPr>
                            <w:rFonts w:eastAsia="Times New Roman"/>
                          </w:rPr>
                          <w:t>PSNC Newsletter</w:t>
                        </w:r>
                      </w:p>
                    </w:tc>
                  </w:tr>
                  <w:tr w:rsidR="00F225D4" w14:paraId="104AF7BE" w14:textId="77777777">
                    <w:trPr>
                      <w:tblCellSpacing w:w="0" w:type="dxa"/>
                    </w:trPr>
                    <w:tc>
                      <w:tcPr>
                        <w:tcW w:w="0" w:type="auto"/>
                        <w:vMerge/>
                        <w:tcBorders>
                          <w:top w:val="nil"/>
                          <w:left w:val="nil"/>
                          <w:bottom w:val="single" w:sz="2" w:space="0" w:color="FFFFFF"/>
                          <w:right w:val="nil"/>
                        </w:tcBorders>
                        <w:vAlign w:val="center"/>
                        <w:hideMark/>
                      </w:tcPr>
                      <w:p w14:paraId="6D755F90" w14:textId="77777777" w:rsidR="00F225D4" w:rsidRDefault="00F225D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AE00C76" w14:textId="77777777" w:rsidR="00F225D4" w:rsidRDefault="00F225D4">
                        <w:pPr>
                          <w:pStyle w:val="Heading2"/>
                          <w:rPr>
                            <w:rFonts w:eastAsia="Times New Roman"/>
                            <w:color w:val="93378A"/>
                          </w:rPr>
                        </w:pPr>
                        <w:r>
                          <w:rPr>
                            <w:rFonts w:eastAsia="Times New Roman"/>
                            <w:color w:val="93378A"/>
                          </w:rPr>
                          <w:t>Friday 3rd September 2021</w:t>
                        </w:r>
                      </w:p>
                    </w:tc>
                  </w:tr>
                </w:tbl>
                <w:p w14:paraId="270EE494" w14:textId="77777777" w:rsidR="00F225D4" w:rsidRDefault="00F225D4">
                  <w:pPr>
                    <w:rPr>
                      <w:rFonts w:ascii="Times New Roman" w:eastAsia="Times New Roman" w:hAnsi="Times New Roman" w:cs="Times New Roman"/>
                      <w:sz w:val="20"/>
                      <w:szCs w:val="20"/>
                    </w:rPr>
                  </w:pPr>
                </w:p>
              </w:tc>
            </w:tr>
            <w:tr w:rsidR="00F225D4" w14:paraId="0C338932" w14:textId="77777777">
              <w:tblPrEx>
                <w:shd w:val="clear" w:color="auto" w:fill="auto"/>
              </w:tblPrEx>
              <w:trPr>
                <w:tblCellSpacing w:w="0" w:type="dxa"/>
                <w:jc w:val="center"/>
              </w:trPr>
              <w:tc>
                <w:tcPr>
                  <w:tcW w:w="9000" w:type="dxa"/>
                  <w:hideMark/>
                </w:tcPr>
                <w:p w14:paraId="6D37AEA3" w14:textId="54B48FEF" w:rsidR="00F225D4" w:rsidRDefault="00F225D4">
                  <w:pPr>
                    <w:rPr>
                      <w:rFonts w:eastAsia="Times New Roman"/>
                    </w:rPr>
                  </w:pPr>
                  <w:r>
                    <w:rPr>
                      <w:rFonts w:eastAsia="Times New Roman"/>
                      <w:noProof/>
                    </w:rPr>
                    <w:drawing>
                      <wp:inline distT="0" distB="0" distL="0" distR="0" wp14:anchorId="43D984AC" wp14:editId="3A83287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F225D4" w14:paraId="1C7615F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F225D4" w14:paraId="776AE255" w14:textId="77777777">
                    <w:trPr>
                      <w:trHeight w:val="150"/>
                      <w:tblCellSpacing w:w="15" w:type="dxa"/>
                      <w:jc w:val="center"/>
                    </w:trPr>
                    <w:tc>
                      <w:tcPr>
                        <w:tcW w:w="150" w:type="dxa"/>
                        <w:vAlign w:val="center"/>
                        <w:hideMark/>
                      </w:tcPr>
                      <w:p w14:paraId="30230A6C" w14:textId="77777777" w:rsidR="00F225D4" w:rsidRDefault="00F225D4">
                        <w:pPr>
                          <w:rPr>
                            <w:rFonts w:eastAsia="Times New Roman"/>
                          </w:rPr>
                        </w:pPr>
                      </w:p>
                    </w:tc>
                    <w:tc>
                      <w:tcPr>
                        <w:tcW w:w="8700" w:type="dxa"/>
                        <w:vAlign w:val="center"/>
                        <w:hideMark/>
                      </w:tcPr>
                      <w:p w14:paraId="4B53A11C" w14:textId="77777777" w:rsidR="00F225D4" w:rsidRDefault="00F225D4">
                        <w:pPr>
                          <w:rPr>
                            <w:rFonts w:ascii="Times New Roman" w:eastAsia="Times New Roman" w:hAnsi="Times New Roman" w:cs="Times New Roman"/>
                            <w:sz w:val="20"/>
                            <w:szCs w:val="20"/>
                          </w:rPr>
                        </w:pPr>
                      </w:p>
                    </w:tc>
                    <w:tc>
                      <w:tcPr>
                        <w:tcW w:w="150" w:type="dxa"/>
                        <w:vAlign w:val="center"/>
                        <w:hideMark/>
                      </w:tcPr>
                      <w:p w14:paraId="62587AC6" w14:textId="77777777" w:rsidR="00F225D4" w:rsidRDefault="00F225D4">
                        <w:pPr>
                          <w:rPr>
                            <w:rFonts w:ascii="Times New Roman" w:eastAsia="Times New Roman" w:hAnsi="Times New Roman" w:cs="Times New Roman"/>
                            <w:sz w:val="20"/>
                            <w:szCs w:val="20"/>
                          </w:rPr>
                        </w:pPr>
                      </w:p>
                    </w:tc>
                  </w:tr>
                  <w:tr w:rsidR="00F225D4" w14:paraId="287FBB0C" w14:textId="77777777">
                    <w:trPr>
                      <w:tblCellSpacing w:w="15" w:type="dxa"/>
                      <w:jc w:val="center"/>
                    </w:trPr>
                    <w:tc>
                      <w:tcPr>
                        <w:tcW w:w="150" w:type="dxa"/>
                        <w:vAlign w:val="center"/>
                        <w:hideMark/>
                      </w:tcPr>
                      <w:p w14:paraId="5A79C001" w14:textId="77777777" w:rsidR="00F225D4" w:rsidRDefault="00F225D4">
                        <w:pPr>
                          <w:rPr>
                            <w:rFonts w:ascii="Times New Roman" w:eastAsia="Times New Roman" w:hAnsi="Times New Roman" w:cs="Times New Roman"/>
                            <w:sz w:val="20"/>
                            <w:szCs w:val="20"/>
                          </w:rPr>
                        </w:pPr>
                      </w:p>
                    </w:tc>
                    <w:tc>
                      <w:tcPr>
                        <w:tcW w:w="8700" w:type="dxa"/>
                        <w:vAlign w:val="center"/>
                        <w:hideMark/>
                      </w:tcPr>
                      <w:p w14:paraId="0BC7BA36"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083F66EA"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AC38D5C">
                            <v:rect id="_x0000_i1032" style="width:468pt;height:1.5pt" o:hrstd="t" o:hr="t" fillcolor="#a0a0a0" stroked="f"/>
                          </w:pict>
                        </w:r>
                      </w:p>
                      <w:p w14:paraId="035BC274" w14:textId="77777777" w:rsidR="00F225D4" w:rsidRDefault="00F225D4" w:rsidP="00F225D4">
                        <w:pPr>
                          <w:pStyle w:val="Heading2"/>
                          <w:rPr>
                            <w:rFonts w:eastAsia="Times New Roman"/>
                          </w:rPr>
                        </w:pPr>
                        <w:r>
                          <w:rPr>
                            <w:rFonts w:eastAsia="Times New Roman"/>
                          </w:rPr>
                          <w:t>In this update: C-19 cost claims update; CPCF 2021/22 webinar recording; summary of September Drug Tariff changes; PSNC website restructuring; new JCVI C-19 vaccine advice; planned DSPTK changes.</w:t>
                        </w:r>
                      </w:p>
                      <w:p w14:paraId="723F8C64"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B12B1DB">
                            <v:rect id="_x0000_i1033" style="width:468pt;height:1.5pt" o:hrstd="t" o:hr="t" fillcolor="#a0a0a0" stroked="f"/>
                          </w:pict>
                        </w:r>
                      </w:p>
                      <w:p w14:paraId="0AF9D7A3" w14:textId="77777777" w:rsidR="00F225D4" w:rsidRDefault="00F225D4" w:rsidP="00F225D4">
                        <w:pPr>
                          <w:pStyle w:val="Heading3"/>
                          <w:rPr>
                            <w:rFonts w:eastAsia="Times New Roman"/>
                          </w:rPr>
                        </w:pPr>
                        <w:r>
                          <w:rPr>
                            <w:rFonts w:eastAsia="Times New Roman"/>
                          </w:rPr>
                          <w:t>COVID-19 cost claims update</w:t>
                        </w:r>
                      </w:p>
                      <w:p w14:paraId="2DD22CB5" w14:textId="3709026B"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are pleased to report that the overwhelming majority of community pharmacy contractors submitted a claim for their COVID-19 costs and that the total claimed for is significantly higher than the </w:t>
                        </w:r>
                        <w:hyperlink r:id="rId8" w:tgtFrame="_blank" w:history="1">
                          <w:r>
                            <w:rPr>
                              <w:rStyle w:val="Hyperlink"/>
                              <w:rFonts w:ascii="Tahoma" w:eastAsia="Times New Roman" w:hAnsi="Tahoma" w:cs="Tahoma"/>
                              <w:b/>
                              <w:bCs/>
                              <w:color w:val="4E3487"/>
                              <w:sz w:val="21"/>
                              <w:szCs w:val="21"/>
                            </w:rPr>
                            <w:t>£120 million offered initially to the sector by HM Government (which PSNC rejected last summer)</w:t>
                          </w:r>
                        </w:hyperlink>
                        <w:r>
                          <w:rPr>
                            <w:rFonts w:ascii="Tahoma" w:eastAsia="Times New Roman" w:hAnsi="Tahoma" w:cs="Tahoma"/>
                            <w:color w:val="303030"/>
                            <w:sz w:val="21"/>
                            <w:szCs w:val="21"/>
                          </w:rPr>
                          <w:t xml:space="preserve">. </w:t>
                        </w:r>
                      </w:p>
                      <w:p w14:paraId="7309E0D6" w14:textId="77777777" w:rsidR="00F225D4" w:rsidRDefault="00F225D4" w:rsidP="00F225D4">
                        <w:pPr>
                          <w:pStyle w:val="NormalWeb"/>
                          <w:spacing w:line="264" w:lineRule="auto"/>
                          <w:rPr>
                            <w:rFonts w:ascii="Tahoma" w:hAnsi="Tahoma" w:cs="Tahoma"/>
                            <w:color w:val="303030"/>
                            <w:sz w:val="21"/>
                            <w:szCs w:val="21"/>
                          </w:rPr>
                        </w:pPr>
                        <w:r>
                          <w:rPr>
                            <w:rFonts w:ascii="Tahoma" w:hAnsi="Tahoma" w:cs="Tahoma"/>
                            <w:color w:val="303030"/>
                            <w:sz w:val="21"/>
                            <w:szCs w:val="21"/>
                          </w:rPr>
                          <w:t>The NHS Business Services Authority (NHSBSA) has been processing these claims, and PSNC is now engaged in urgent discussions with them and the Department of Health and Social Care (DHSC) about any outliers that have been identified. PSNC is also demanding that contractors receive a payment for their COVID-19 costs in time for the first repayment of last year’s Advance Payments.</w:t>
                        </w:r>
                      </w:p>
                      <w:p w14:paraId="5D035DB6" w14:textId="77777777" w:rsidR="00F225D4" w:rsidRDefault="00F225D4" w:rsidP="00F225D4">
                        <w:pPr>
                          <w:pStyle w:val="NormalWeb"/>
                          <w:spacing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more about the COVID-19 cost claims process</w:t>
                          </w:r>
                        </w:hyperlink>
                      </w:p>
                      <w:p w14:paraId="652F0594"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3DD135">
                            <v:rect id="_x0000_i1034" style="width:468pt;height:1.5pt" o:hrstd="t" o:hr="t" fillcolor="#a0a0a0" stroked="f"/>
                          </w:pict>
                        </w:r>
                      </w:p>
                      <w:p w14:paraId="57F5DF46" w14:textId="77777777" w:rsidR="00F225D4" w:rsidRDefault="00F225D4" w:rsidP="00F225D4">
                        <w:pPr>
                          <w:pStyle w:val="Heading3"/>
                          <w:rPr>
                            <w:rFonts w:eastAsia="Times New Roman"/>
                          </w:rPr>
                        </w:pPr>
                        <w:r>
                          <w:rPr>
                            <w:rFonts w:eastAsia="Times New Roman"/>
                          </w:rPr>
                          <w:t>CPCF 2021/22 webinar now available on-demand</w:t>
                        </w:r>
                      </w:p>
                      <w:p w14:paraId="0E835879" w14:textId="6FAE8554"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CPCF Year Three webinar for community pharmacy contractors is now available to watch on-demand. The online event described the funding, services and regulatory details of the 2021/22 agreement, with 97% of attendees reporting that they found it helpful.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View an on-demand version of the webinar</w:t>
                          </w:r>
                        </w:hyperlink>
                        <w:r>
                          <w:rPr>
                            <w:rFonts w:ascii="Tahoma" w:eastAsia="Times New Roman" w:hAnsi="Tahoma" w:cs="Tahoma"/>
                            <w:color w:val="303030"/>
                            <w:sz w:val="21"/>
                            <w:szCs w:val="21"/>
                          </w:rPr>
                          <w:t xml:space="preserve"> </w:t>
                        </w:r>
                      </w:p>
                      <w:p w14:paraId="5FE5DDD7"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8FD65D">
                            <v:rect id="_x0000_i1035" style="width:468pt;height:1.5pt" o:hrstd="t" o:hr="t" fillcolor="#a0a0a0" stroked="f"/>
                          </w:pict>
                        </w:r>
                      </w:p>
                      <w:p w14:paraId="107C70AD" w14:textId="77777777" w:rsidR="00F225D4" w:rsidRDefault="00F225D4" w:rsidP="00F225D4">
                        <w:pPr>
                          <w:pStyle w:val="Heading3"/>
                          <w:rPr>
                            <w:rFonts w:eastAsia="Times New Roman"/>
                          </w:rPr>
                        </w:pPr>
                        <w:r>
                          <w:rPr>
                            <w:rFonts w:eastAsia="Times New Roman"/>
                          </w:rPr>
                          <w:t>Summary of Drug Tariff changes for September 2021</w:t>
                        </w:r>
                      </w:p>
                      <w:p w14:paraId="10FB6216" w14:textId="153DEC24"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a number of changes to the Drug Tariff in September 2021, PSNC's Dispensing and Supply Team has produced a summary to help pharmacy contractors and their teams familiarise themselves with the information and take action accordingly.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View the summary</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lastRenderedPageBreak/>
                          <w:t>New NHSBSA guidance on patient exemption checking</w:t>
                        </w:r>
                        <w:r>
                          <w:rPr>
                            <w:rFonts w:ascii="Tahoma" w:eastAsia="Times New Roman" w:hAnsi="Tahoma" w:cs="Tahoma"/>
                            <w:color w:val="303030"/>
                            <w:sz w:val="21"/>
                            <w:szCs w:val="21"/>
                          </w:rPr>
                          <w:br/>
                        </w:r>
                        <w:r>
                          <w:rPr>
                            <w:rFonts w:ascii="Tahoma" w:eastAsia="Times New Roman" w:hAnsi="Tahoma" w:cs="Tahoma"/>
                            <w:color w:val="303030"/>
                            <w:sz w:val="21"/>
                            <w:szCs w:val="21"/>
                          </w:rPr>
                          <w:br/>
                          <w:t>Following the lifting of the </w:t>
                        </w:r>
                        <w:hyperlink r:id="rId12" w:tgtFrame="_blank" w:history="1">
                          <w:r>
                            <w:rPr>
                              <w:rStyle w:val="Hyperlink"/>
                              <w:rFonts w:ascii="Tahoma" w:eastAsia="Times New Roman" w:hAnsi="Tahoma" w:cs="Tahoma"/>
                              <w:b/>
                              <w:bCs/>
                              <w:color w:val="4E3487"/>
                              <w:sz w:val="21"/>
                              <w:szCs w:val="21"/>
                            </w:rPr>
                            <w:t>temporary suspension of signatures on prescription forms and tokens</w:t>
                          </w:r>
                        </w:hyperlink>
                        <w:r>
                          <w:rPr>
                            <w:rFonts w:ascii="Tahoma" w:eastAsia="Times New Roman" w:hAnsi="Tahoma" w:cs="Tahoma"/>
                            <w:color w:val="303030"/>
                            <w:sz w:val="21"/>
                            <w:szCs w:val="21"/>
                          </w:rPr>
                          <w:t> on </w:t>
                        </w:r>
                        <w:r>
                          <w:rPr>
                            <w:rStyle w:val="Strong"/>
                            <w:rFonts w:ascii="Tahoma" w:eastAsia="Times New Roman" w:hAnsi="Tahoma" w:cs="Tahoma"/>
                            <w:color w:val="303030"/>
                            <w:sz w:val="21"/>
                            <w:szCs w:val="21"/>
                          </w:rPr>
                          <w:t>1 September 2021</w:t>
                        </w:r>
                        <w:r>
                          <w:rPr>
                            <w:rFonts w:ascii="Tahoma" w:eastAsia="Times New Roman" w:hAnsi="Tahoma" w:cs="Tahoma"/>
                            <w:color w:val="303030"/>
                            <w:sz w:val="21"/>
                            <w:szCs w:val="21"/>
                          </w:rPr>
                          <w:t>, NHSBSA has issued guidance on exemption checking to aid pharmacy teams.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Read the patient exemption checking guidance</w:t>
                          </w:r>
                        </w:hyperlink>
                        <w:r>
                          <w:rPr>
                            <w:rFonts w:ascii="Tahoma" w:eastAsia="Times New Roman" w:hAnsi="Tahoma" w:cs="Tahoma"/>
                            <w:color w:val="303030"/>
                            <w:sz w:val="21"/>
                            <w:szCs w:val="21"/>
                          </w:rPr>
                          <w:t xml:space="preserve"> </w:t>
                        </w:r>
                      </w:p>
                      <w:p w14:paraId="16EE932D"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1F8E25">
                            <v:rect id="_x0000_i1036" style="width:468pt;height:1.5pt" o:hrstd="t" o:hr="t" fillcolor="#a0a0a0" stroked="f"/>
                          </w:pict>
                        </w:r>
                      </w:p>
                      <w:p w14:paraId="5990ED21" w14:textId="77777777" w:rsidR="00F225D4" w:rsidRDefault="00F225D4" w:rsidP="00F225D4">
                        <w:pPr>
                          <w:pStyle w:val="Heading3"/>
                          <w:rPr>
                            <w:rFonts w:eastAsia="Times New Roman"/>
                          </w:rPr>
                        </w:pPr>
                        <w:r>
                          <w:rPr>
                            <w:rFonts w:eastAsia="Times New Roman"/>
                          </w:rPr>
                          <w:t>PSNC Website: Have your say on content structure</w:t>
                        </w:r>
                      </w:p>
                      <w:p w14:paraId="27E5E547" w14:textId="0398E80A"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undergoing a website overhaul and would appreciate contractors' help to reorganise our website's content structure and menu navigation. To this end, we have created a content sorting exercise to enable site users to get involved in categorising our content.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Find out how you can get involved</w:t>
                          </w:r>
                        </w:hyperlink>
                        <w:r>
                          <w:rPr>
                            <w:rFonts w:ascii="Tahoma" w:eastAsia="Times New Roman" w:hAnsi="Tahoma" w:cs="Tahoma"/>
                            <w:color w:val="303030"/>
                            <w:sz w:val="21"/>
                            <w:szCs w:val="21"/>
                          </w:rPr>
                          <w:t xml:space="preserve"> </w:t>
                        </w:r>
                      </w:p>
                      <w:p w14:paraId="3999A9EA"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B9CEB8D">
                            <v:rect id="_x0000_i1037" style="width:468pt;height:1.5pt" o:hrstd="t" o:hr="t" fillcolor="#a0a0a0" stroked="f"/>
                          </w:pict>
                        </w:r>
                      </w:p>
                      <w:p w14:paraId="571836AB" w14:textId="77777777" w:rsidR="00F225D4" w:rsidRDefault="00F225D4" w:rsidP="00F225D4">
                        <w:pPr>
                          <w:pStyle w:val="Heading3"/>
                          <w:rPr>
                            <w:rFonts w:eastAsia="Times New Roman"/>
                          </w:rPr>
                        </w:pPr>
                        <w:r>
                          <w:rPr>
                            <w:rFonts w:eastAsia="Times New Roman"/>
                          </w:rPr>
                          <w:t>JCVI advice on third dose COVID-19 vaccination</w:t>
                        </w:r>
                      </w:p>
                      <w:p w14:paraId="56F634F5" w14:textId="1C0A7BA3"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Joint Committee on Vaccination and Immunisation (JCVI) has advised that people with severely weakened immune systems should have a third vaccine dose as part of their primary COVID-19 vaccination schedule. The Government has accepted this advice.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Learn more about the JCVI's advice</w:t>
                          </w:r>
                        </w:hyperlink>
                        <w:r>
                          <w:rPr>
                            <w:rFonts w:ascii="Tahoma" w:eastAsia="Times New Roman" w:hAnsi="Tahoma" w:cs="Tahoma"/>
                            <w:color w:val="303030"/>
                            <w:sz w:val="21"/>
                            <w:szCs w:val="21"/>
                          </w:rPr>
                          <w:t xml:space="preserve"> </w:t>
                        </w:r>
                      </w:p>
                      <w:p w14:paraId="3E5A77FE" w14:textId="77777777" w:rsidR="00F225D4" w:rsidRDefault="00F225D4" w:rsidP="00F225D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0525FD">
                            <v:rect id="_x0000_i1038" style="width:468pt;height:1.5pt" o:hrstd="t" o:hr="t" fillcolor="#a0a0a0" stroked="f"/>
                          </w:pict>
                        </w:r>
                      </w:p>
                      <w:p w14:paraId="2FBA0EB6" w14:textId="77777777" w:rsidR="00F225D4" w:rsidRDefault="00F225D4" w:rsidP="00F225D4">
                        <w:pPr>
                          <w:pStyle w:val="Heading3"/>
                          <w:rPr>
                            <w:rFonts w:eastAsia="Times New Roman"/>
                          </w:rPr>
                        </w:pPr>
                        <w:proofErr w:type="gramStart"/>
                        <w:r>
                          <w:rPr>
                            <w:rFonts w:eastAsia="Times New Roman"/>
                          </w:rPr>
                          <w:t>Future plans</w:t>
                        </w:r>
                        <w:proofErr w:type="gramEnd"/>
                        <w:r>
                          <w:rPr>
                            <w:rFonts w:eastAsia="Times New Roman"/>
                          </w:rPr>
                          <w:t xml:space="preserve"> for Pharmacy DSPTK toolkit submission</w:t>
                        </w:r>
                      </w:p>
                      <w:p w14:paraId="7C50F823" w14:textId="77777777" w:rsidR="00F225D4" w:rsidRDefault="00F225D4" w:rsidP="00F225D4">
                        <w:pPr>
                          <w:spacing w:line="264" w:lineRule="auto"/>
                          <w:rPr>
                            <w:rFonts w:ascii="Tahoma" w:hAnsi="Tahoma" w:cs="Tahoma"/>
                            <w:color w:val="303030"/>
                            <w:sz w:val="21"/>
                            <w:szCs w:val="21"/>
                          </w:rPr>
                        </w:pPr>
                        <w:r>
                          <w:rPr>
                            <w:rFonts w:ascii="Tahoma" w:eastAsia="Times New Roman" w:hAnsi="Tahoma" w:cs="Tahoma"/>
                            <w:color w:val="303030"/>
                            <w:sz w:val="21"/>
                            <w:szCs w:val="21"/>
                          </w:rPr>
                          <w:t>PSNC and NHS Digital are currently updating the Data Security and Protection Toolkit (DSPTK) and related tips. Additional user testing is also planned. If you would like to get involved with this user testing, please contact </w:t>
                        </w:r>
                        <w:hyperlink r:id="rId16" w:tgtFrame="_blank" w:history="1">
                          <w:r>
                            <w:rPr>
                              <w:rStyle w:val="Hyperlink"/>
                              <w:rFonts w:ascii="Tahoma" w:eastAsia="Times New Roman" w:hAnsi="Tahoma" w:cs="Tahoma"/>
                              <w:b/>
                              <w:bCs/>
                              <w:color w:val="4E3487"/>
                              <w:sz w:val="21"/>
                              <w:szCs w:val="21"/>
                            </w:rPr>
                            <w:t>it@psnc.org.uk</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p>
                      <w:p w14:paraId="31C76C56" w14:textId="71B9B490" w:rsidR="00F225D4" w:rsidRDefault="00F225D4" w:rsidP="00F225D4">
                        <w:pPr>
                          <w:spacing w:line="264" w:lineRule="auto"/>
                          <w:rPr>
                            <w:rFonts w:ascii="Tahoma" w:hAnsi="Tahoma" w:cs="Tahoma"/>
                            <w:color w:val="303030"/>
                            <w:sz w:val="21"/>
                            <w:szCs w:val="21"/>
                          </w:rPr>
                        </w:pPr>
                        <w:r>
                          <w:rPr>
                            <w:rFonts w:ascii="Tahoma" w:hAnsi="Tahoma" w:cs="Tahoma"/>
                            <w:color w:val="303030"/>
                            <w:sz w:val="21"/>
                            <w:szCs w:val="21"/>
                          </w:rPr>
                          <w:t>NHS Digital may update contractors about the availability of the initial Toolkit version.</w:t>
                        </w:r>
                        <w:r>
                          <w:rPr>
                            <w:rStyle w:val="Strong"/>
                            <w:rFonts w:ascii="Tahoma" w:hAnsi="Tahoma" w:cs="Tahoma"/>
                            <w:color w:val="303030"/>
                            <w:sz w:val="21"/>
                            <w:szCs w:val="21"/>
                          </w:rPr>
                          <w:t> </w:t>
                        </w:r>
                        <w:r>
                          <w:rPr>
                            <w:rFonts w:ascii="Tahoma" w:hAnsi="Tahoma" w:cs="Tahoma"/>
                            <w:color w:val="303030"/>
                            <w:sz w:val="21"/>
                            <w:szCs w:val="21"/>
                          </w:rPr>
                          <w:t>However, we strongly recommend that contractors hold off accessing the Toolkit until the planned improvements have been finalised and PSNC releases its updated guidance. Contractors will still have adequate time to complete the Toolkit before the submission deadline on 30th June 2022. We will keep contractors informed of any developments.</w:t>
                        </w:r>
                      </w:p>
                    </w:tc>
                    <w:tc>
                      <w:tcPr>
                        <w:tcW w:w="150" w:type="dxa"/>
                        <w:vAlign w:val="center"/>
                        <w:hideMark/>
                      </w:tcPr>
                      <w:p w14:paraId="4A93F08A" w14:textId="77777777" w:rsidR="00F225D4" w:rsidRDefault="00F225D4" w:rsidP="00F225D4">
                        <w:pPr>
                          <w:rPr>
                            <w:rFonts w:ascii="Tahoma" w:hAnsi="Tahoma" w:cs="Tahoma"/>
                            <w:color w:val="303030"/>
                            <w:sz w:val="21"/>
                            <w:szCs w:val="21"/>
                          </w:rPr>
                        </w:pPr>
                      </w:p>
                    </w:tc>
                  </w:tr>
                  <w:tr w:rsidR="00F225D4" w14:paraId="77012E1C" w14:textId="77777777">
                    <w:trPr>
                      <w:trHeight w:val="150"/>
                      <w:tblCellSpacing w:w="15" w:type="dxa"/>
                      <w:jc w:val="center"/>
                    </w:trPr>
                    <w:tc>
                      <w:tcPr>
                        <w:tcW w:w="150" w:type="dxa"/>
                        <w:vAlign w:val="center"/>
                        <w:hideMark/>
                      </w:tcPr>
                      <w:p w14:paraId="473777D4" w14:textId="77777777" w:rsidR="00F225D4" w:rsidRDefault="00F225D4">
                        <w:pPr>
                          <w:rPr>
                            <w:rFonts w:ascii="Times New Roman" w:eastAsia="Times New Roman" w:hAnsi="Times New Roman" w:cs="Times New Roman"/>
                            <w:sz w:val="20"/>
                            <w:szCs w:val="20"/>
                          </w:rPr>
                        </w:pPr>
                      </w:p>
                    </w:tc>
                    <w:tc>
                      <w:tcPr>
                        <w:tcW w:w="8700" w:type="dxa"/>
                        <w:vAlign w:val="center"/>
                        <w:hideMark/>
                      </w:tcPr>
                      <w:p w14:paraId="35FCC9E5" w14:textId="77777777" w:rsidR="00F225D4" w:rsidRDefault="00F225D4">
                        <w:pPr>
                          <w:rPr>
                            <w:rFonts w:ascii="Times New Roman" w:eastAsia="Times New Roman" w:hAnsi="Times New Roman" w:cs="Times New Roman"/>
                            <w:sz w:val="20"/>
                            <w:szCs w:val="20"/>
                          </w:rPr>
                        </w:pPr>
                      </w:p>
                    </w:tc>
                    <w:tc>
                      <w:tcPr>
                        <w:tcW w:w="150" w:type="dxa"/>
                        <w:vAlign w:val="center"/>
                        <w:hideMark/>
                      </w:tcPr>
                      <w:p w14:paraId="3DDA33C7" w14:textId="77777777" w:rsidR="00F225D4" w:rsidRDefault="00F225D4">
                        <w:pPr>
                          <w:rPr>
                            <w:rFonts w:ascii="Times New Roman" w:eastAsia="Times New Roman" w:hAnsi="Times New Roman" w:cs="Times New Roman"/>
                            <w:sz w:val="20"/>
                            <w:szCs w:val="20"/>
                          </w:rPr>
                        </w:pPr>
                      </w:p>
                    </w:tc>
                  </w:tr>
                </w:tbl>
                <w:p w14:paraId="0352D9B1" w14:textId="77777777" w:rsidR="00F225D4" w:rsidRDefault="00F225D4">
                  <w:pPr>
                    <w:jc w:val="center"/>
                    <w:rPr>
                      <w:rFonts w:ascii="Times New Roman" w:eastAsia="Times New Roman" w:hAnsi="Times New Roman" w:cs="Times New Roman"/>
                      <w:sz w:val="20"/>
                      <w:szCs w:val="20"/>
                    </w:rPr>
                  </w:pPr>
                </w:p>
              </w:tc>
            </w:tr>
          </w:tbl>
          <w:p w14:paraId="7935AD8C" w14:textId="77777777" w:rsidR="00F225D4" w:rsidRDefault="00F225D4">
            <w:pPr>
              <w:jc w:val="center"/>
              <w:rPr>
                <w:rFonts w:ascii="Times New Roman" w:eastAsia="Times New Roman" w:hAnsi="Times New Roman" w:cs="Times New Roman"/>
                <w:sz w:val="20"/>
                <w:szCs w:val="20"/>
              </w:rPr>
            </w:pPr>
          </w:p>
        </w:tc>
      </w:tr>
      <w:tr w:rsidR="00F225D4" w14:paraId="42893B6B" w14:textId="77777777" w:rsidTr="00F225D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225D4" w14:paraId="11880B5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225D4" w14:paraId="3B697EDD" w14:textId="77777777">
                    <w:trPr>
                      <w:tblCellSpacing w:w="0" w:type="dxa"/>
                      <w:jc w:val="center"/>
                    </w:trPr>
                    <w:tc>
                      <w:tcPr>
                        <w:tcW w:w="3000" w:type="dxa"/>
                        <w:tcMar>
                          <w:top w:w="30" w:type="dxa"/>
                          <w:left w:w="75" w:type="dxa"/>
                          <w:bottom w:w="30" w:type="dxa"/>
                          <w:right w:w="75" w:type="dxa"/>
                        </w:tcMar>
                        <w:hideMark/>
                      </w:tcPr>
                      <w:p w14:paraId="621C893F" w14:textId="77777777" w:rsidR="00F225D4" w:rsidRDefault="00F225D4">
                        <w:pPr>
                          <w:pStyle w:val="Heading4"/>
                          <w:jc w:val="center"/>
                          <w:rPr>
                            <w:rFonts w:eastAsia="Times New Roman"/>
                          </w:rPr>
                        </w:pPr>
                        <w:r>
                          <w:rPr>
                            <w:rFonts w:eastAsia="Times New Roman"/>
                          </w:rPr>
                          <w:lastRenderedPageBreak/>
                          <w:t>Pharmaceutical Services Negotiating Committee</w:t>
                        </w:r>
                      </w:p>
                      <w:p w14:paraId="7BCA3004" w14:textId="4EE092C4" w:rsidR="00F225D4" w:rsidRDefault="00F225D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68F235E" wp14:editId="371229F6">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4C996C" wp14:editId="6299D8C6">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1A6C0FE" wp14:editId="45712DE8">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5469463" wp14:editId="43DE0B40">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6A10C81" w14:textId="77777777" w:rsidR="00F225D4" w:rsidRDefault="00F225D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225D4" w14:paraId="57EFFD7A" w14:textId="77777777" w:rsidTr="00F225D4">
                    <w:trPr>
                      <w:trHeight w:val="20"/>
                      <w:tblCellSpacing w:w="0" w:type="dxa"/>
                      <w:jc w:val="center"/>
                    </w:trPr>
                    <w:tc>
                      <w:tcPr>
                        <w:tcW w:w="9000" w:type="dxa"/>
                        <w:tcMar>
                          <w:top w:w="150" w:type="dxa"/>
                          <w:left w:w="0" w:type="dxa"/>
                          <w:bottom w:w="0" w:type="dxa"/>
                          <w:right w:w="0" w:type="dxa"/>
                        </w:tcMar>
                        <w:vAlign w:val="center"/>
                        <w:hideMark/>
                      </w:tcPr>
                      <w:p w14:paraId="5934C17F" w14:textId="36A2E21F" w:rsidR="00F225D4" w:rsidRDefault="00F225D4" w:rsidP="00F225D4">
                        <w:pPr>
                          <w:rPr>
                            <w:rFonts w:ascii="Arial" w:eastAsia="Times New Roman" w:hAnsi="Arial" w:cs="Arial"/>
                            <w:color w:val="FFFFFF"/>
                            <w:sz w:val="17"/>
                            <w:szCs w:val="17"/>
                          </w:rPr>
                        </w:pPr>
                      </w:p>
                    </w:tc>
                  </w:tr>
                </w:tbl>
                <w:p w14:paraId="2CDC1115" w14:textId="77777777" w:rsidR="00F225D4" w:rsidRDefault="00F225D4">
                  <w:pPr>
                    <w:jc w:val="center"/>
                    <w:rPr>
                      <w:rFonts w:ascii="Times New Roman" w:eastAsia="Times New Roman" w:hAnsi="Times New Roman" w:cs="Times New Roman"/>
                      <w:sz w:val="20"/>
                      <w:szCs w:val="20"/>
                    </w:rPr>
                  </w:pPr>
                </w:p>
              </w:tc>
            </w:tr>
          </w:tbl>
          <w:p w14:paraId="2B28426E" w14:textId="77777777" w:rsidR="00F225D4" w:rsidRDefault="00F225D4">
            <w:pPr>
              <w:jc w:val="center"/>
              <w:rPr>
                <w:rFonts w:ascii="Times New Roman" w:eastAsia="Times New Roman" w:hAnsi="Times New Roman" w:cs="Times New Roman"/>
                <w:sz w:val="20"/>
                <w:szCs w:val="20"/>
              </w:rPr>
            </w:pPr>
          </w:p>
        </w:tc>
      </w:tr>
    </w:tbl>
    <w:p w14:paraId="25B96053" w14:textId="47873941" w:rsidR="00F225D4" w:rsidRDefault="00F225D4" w:rsidP="00F225D4">
      <w:pPr>
        <w:rPr>
          <w:rFonts w:eastAsia="Times New Roman"/>
        </w:rPr>
      </w:pPr>
      <w:r>
        <w:rPr>
          <w:rFonts w:eastAsia="Times New Roman"/>
          <w:noProof/>
        </w:rPr>
        <w:drawing>
          <wp:inline distT="0" distB="0" distL="0" distR="0" wp14:anchorId="4FB751B6" wp14:editId="2AC44B3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D58C07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D4"/>
    <w:rsid w:val="00DD1890"/>
    <w:rsid w:val="00F22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3022"/>
  <w15:chartTrackingRefBased/>
  <w15:docId w15:val="{97B8A6BE-9C27-425F-A3B1-053957C6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D4"/>
    <w:rPr>
      <w:rFonts w:ascii="Calibri" w:hAnsi="Calibri" w:cs="Calibri"/>
      <w:lang w:eastAsia="en-GB"/>
    </w:rPr>
  </w:style>
  <w:style w:type="paragraph" w:styleId="Heading1">
    <w:name w:val="heading 1"/>
    <w:basedOn w:val="Normal"/>
    <w:link w:val="Heading1Char"/>
    <w:uiPriority w:val="9"/>
    <w:qFormat/>
    <w:rsid w:val="00F225D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225D4"/>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225D4"/>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225D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5D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225D4"/>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F225D4"/>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F225D4"/>
    <w:rPr>
      <w:rFonts w:ascii="Tahoma" w:hAnsi="Tahoma" w:cs="Tahoma"/>
      <w:b/>
      <w:bCs/>
      <w:color w:val="FFFFFF"/>
      <w:sz w:val="18"/>
      <w:szCs w:val="18"/>
      <w:lang w:eastAsia="en-GB"/>
    </w:rPr>
  </w:style>
  <w:style w:type="paragraph" w:styleId="NormalWeb">
    <w:name w:val="Normal (Web)"/>
    <w:basedOn w:val="Normal"/>
    <w:uiPriority w:val="99"/>
    <w:semiHidden/>
    <w:unhideWhenUsed/>
    <w:rsid w:val="00F225D4"/>
    <w:pPr>
      <w:spacing w:before="100" w:beforeAutospacing="1" w:after="100" w:afterAutospacing="1"/>
    </w:pPr>
  </w:style>
  <w:style w:type="character" w:styleId="Strong">
    <w:name w:val="Strong"/>
    <w:basedOn w:val="DefaultParagraphFont"/>
    <w:uiPriority w:val="22"/>
    <w:qFormat/>
    <w:rsid w:val="00F225D4"/>
    <w:rPr>
      <w:b/>
      <w:bCs/>
    </w:rPr>
  </w:style>
  <w:style w:type="character" w:styleId="Hyperlink">
    <w:name w:val="Hyperlink"/>
    <w:basedOn w:val="DefaultParagraphFont"/>
    <w:uiPriority w:val="99"/>
    <w:semiHidden/>
    <w:unhideWhenUsed/>
    <w:rsid w:val="00F22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3ac34a057&amp;e=d19e9fd41c" TargetMode="External"/><Relationship Id="rId13" Type="http://schemas.openxmlformats.org/officeDocument/2006/relationships/hyperlink" Target="https://psnc.us7.list-manage.com/track/click?u=86d41ab7fa4c7c2c5d7210782&amp;id=5ff5ed4536&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385cac707b&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6bf519b304&amp;e=d19e9fd41c" TargetMode="External"/><Relationship Id="rId17" Type="http://schemas.openxmlformats.org/officeDocument/2006/relationships/hyperlink" Target="https://psnc.us7.list-manage.com/track/click?u=86d41ab7fa4c7c2c5d7210782&amp;id=60ba737a3f&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it@psnc.org.uk" TargetMode="External"/><Relationship Id="rId20" Type="http://schemas.openxmlformats.org/officeDocument/2006/relationships/hyperlink" Target="https://psnc.us7.list-manage.com/track/click?u=86d41ab7fa4c7c2c5d7210782&amp;id=da637a4052&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0012539cc&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2d9c3eda93&amp;e=d19e9fd41c" TargetMode="External"/><Relationship Id="rId23" Type="http://schemas.openxmlformats.org/officeDocument/2006/relationships/hyperlink" Target="https://psnc.us7.list-manage.com/track/click?u=86d41ab7fa4c7c2c5d7210782&amp;id=4d63cc18dd&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49494591a4&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12cbcafa23&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a36a72c5c&amp;e=d19e9fd41c" TargetMode="External"/><Relationship Id="rId14" Type="http://schemas.openxmlformats.org/officeDocument/2006/relationships/hyperlink" Target="https://psnc.us7.list-manage.com/track/click?u=86d41ab7fa4c7c2c5d7210782&amp;id=dbda10f621&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2021-09-06T08:03:00Z</dcterms:created>
  <dcterms:modified xsi:type="dcterms:W3CDTF">2021-09-06T08:06:00Z</dcterms:modified>
</cp:coreProperties>
</file>