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A1EA5" w14:paraId="0500A77B" w14:textId="77777777" w:rsidTr="009A1EA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A1EA5" w14:paraId="311877C3"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A1EA5" w14:paraId="50F90F4C" w14:textId="77777777">
                    <w:trPr>
                      <w:tblCellSpacing w:w="0" w:type="dxa"/>
                      <w:jc w:val="center"/>
                    </w:trPr>
                    <w:tc>
                      <w:tcPr>
                        <w:tcW w:w="3000" w:type="dxa"/>
                        <w:hideMark/>
                      </w:tcPr>
                      <w:p w14:paraId="741B28CC" w14:textId="4A5E34A6" w:rsidR="009A1EA5" w:rsidRDefault="00995E21" w:rsidP="00995E21">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DCCB3BE" w14:textId="77777777" w:rsidR="009A1EA5" w:rsidRDefault="009A1EA5">
                  <w:pPr>
                    <w:jc w:val="center"/>
                    <w:rPr>
                      <w:rFonts w:ascii="Times New Roman" w:eastAsia="Times New Roman" w:hAnsi="Times New Roman" w:cs="Times New Roman"/>
                      <w:sz w:val="20"/>
                      <w:szCs w:val="20"/>
                    </w:rPr>
                  </w:pPr>
                </w:p>
              </w:tc>
            </w:tr>
            <w:tr w:rsidR="009A1EA5" w14:paraId="79BFE718"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A1EA5" w14:paraId="3F80799A"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8F30E83" w14:textId="67CC01B7" w:rsidR="009A1EA5" w:rsidRDefault="009A1EA5">
                        <w:pPr>
                          <w:jc w:val="center"/>
                          <w:rPr>
                            <w:rFonts w:eastAsia="Times New Roman"/>
                          </w:rPr>
                        </w:pPr>
                        <w:r>
                          <w:rPr>
                            <w:rFonts w:eastAsia="Times New Roman"/>
                            <w:noProof/>
                          </w:rPr>
                          <w:drawing>
                            <wp:inline distT="0" distB="0" distL="0" distR="0" wp14:anchorId="100B7DA3" wp14:editId="770A78D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A1EA5" w14:paraId="722C6244" w14:textId="77777777">
                    <w:trPr>
                      <w:tblCellSpacing w:w="0" w:type="dxa"/>
                    </w:trPr>
                    <w:tc>
                      <w:tcPr>
                        <w:tcW w:w="0" w:type="auto"/>
                        <w:vMerge/>
                        <w:tcBorders>
                          <w:top w:val="nil"/>
                          <w:left w:val="nil"/>
                          <w:bottom w:val="single" w:sz="2" w:space="0" w:color="FFFFFF"/>
                          <w:right w:val="nil"/>
                        </w:tcBorders>
                        <w:vAlign w:val="center"/>
                        <w:hideMark/>
                      </w:tcPr>
                      <w:p w14:paraId="3EC5E3C2" w14:textId="77777777" w:rsidR="009A1EA5" w:rsidRDefault="009A1EA5">
                        <w:pPr>
                          <w:rPr>
                            <w:rFonts w:eastAsia="Times New Roman"/>
                          </w:rPr>
                        </w:pPr>
                      </w:p>
                    </w:tc>
                    <w:tc>
                      <w:tcPr>
                        <w:tcW w:w="3450" w:type="dxa"/>
                        <w:tcBorders>
                          <w:top w:val="nil"/>
                          <w:left w:val="nil"/>
                          <w:bottom w:val="nil"/>
                          <w:right w:val="nil"/>
                        </w:tcBorders>
                        <w:vAlign w:val="center"/>
                        <w:hideMark/>
                      </w:tcPr>
                      <w:p w14:paraId="48BF6903" w14:textId="77777777" w:rsidR="009A1EA5" w:rsidRDefault="009A1EA5">
                        <w:pPr>
                          <w:pStyle w:val="Heading1"/>
                          <w:rPr>
                            <w:rFonts w:eastAsia="Times New Roman"/>
                          </w:rPr>
                        </w:pPr>
                        <w:r>
                          <w:rPr>
                            <w:rFonts w:eastAsia="Times New Roman"/>
                          </w:rPr>
                          <w:t>PSNC Newsletter</w:t>
                        </w:r>
                      </w:p>
                    </w:tc>
                  </w:tr>
                  <w:tr w:rsidR="009A1EA5" w14:paraId="27ECCABE" w14:textId="77777777">
                    <w:trPr>
                      <w:tblCellSpacing w:w="0" w:type="dxa"/>
                    </w:trPr>
                    <w:tc>
                      <w:tcPr>
                        <w:tcW w:w="0" w:type="auto"/>
                        <w:vMerge/>
                        <w:tcBorders>
                          <w:top w:val="nil"/>
                          <w:left w:val="nil"/>
                          <w:bottom w:val="single" w:sz="2" w:space="0" w:color="FFFFFF"/>
                          <w:right w:val="nil"/>
                        </w:tcBorders>
                        <w:vAlign w:val="center"/>
                        <w:hideMark/>
                      </w:tcPr>
                      <w:p w14:paraId="2BC2C42A" w14:textId="77777777" w:rsidR="009A1EA5" w:rsidRDefault="009A1EA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9EC43AA" w14:textId="77777777" w:rsidR="009A1EA5" w:rsidRDefault="009A1EA5">
                        <w:pPr>
                          <w:pStyle w:val="Heading2"/>
                          <w:rPr>
                            <w:rFonts w:eastAsia="Times New Roman"/>
                            <w:color w:val="93378A"/>
                          </w:rPr>
                        </w:pPr>
                        <w:r>
                          <w:rPr>
                            <w:rFonts w:eastAsia="Times New Roman"/>
                            <w:color w:val="93378A"/>
                          </w:rPr>
                          <w:t>Friday 29th October 2021</w:t>
                        </w:r>
                      </w:p>
                    </w:tc>
                  </w:tr>
                </w:tbl>
                <w:p w14:paraId="422AA9C6" w14:textId="77777777" w:rsidR="009A1EA5" w:rsidRDefault="009A1EA5">
                  <w:pPr>
                    <w:rPr>
                      <w:rFonts w:ascii="Times New Roman" w:eastAsia="Times New Roman" w:hAnsi="Times New Roman" w:cs="Times New Roman"/>
                      <w:sz w:val="20"/>
                      <w:szCs w:val="20"/>
                    </w:rPr>
                  </w:pPr>
                </w:p>
              </w:tc>
            </w:tr>
            <w:tr w:rsidR="009A1EA5" w14:paraId="04580DFC" w14:textId="77777777">
              <w:tblPrEx>
                <w:shd w:val="clear" w:color="auto" w:fill="auto"/>
              </w:tblPrEx>
              <w:trPr>
                <w:tblCellSpacing w:w="0" w:type="dxa"/>
                <w:jc w:val="center"/>
              </w:trPr>
              <w:tc>
                <w:tcPr>
                  <w:tcW w:w="9000" w:type="dxa"/>
                  <w:hideMark/>
                </w:tcPr>
                <w:p w14:paraId="52117F93" w14:textId="3E2D53D1" w:rsidR="009A1EA5" w:rsidRDefault="009A1EA5">
                  <w:pPr>
                    <w:rPr>
                      <w:rFonts w:eastAsia="Times New Roman"/>
                    </w:rPr>
                  </w:pPr>
                  <w:r>
                    <w:rPr>
                      <w:rFonts w:eastAsia="Times New Roman"/>
                      <w:noProof/>
                    </w:rPr>
                    <w:drawing>
                      <wp:inline distT="0" distB="0" distL="0" distR="0" wp14:anchorId="23DF8D97" wp14:editId="42B1E86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A1EA5" w14:paraId="536581B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A1EA5" w14:paraId="6A521548" w14:textId="77777777">
                    <w:trPr>
                      <w:trHeight w:val="150"/>
                      <w:tblCellSpacing w:w="15" w:type="dxa"/>
                      <w:jc w:val="center"/>
                    </w:trPr>
                    <w:tc>
                      <w:tcPr>
                        <w:tcW w:w="150" w:type="dxa"/>
                        <w:vAlign w:val="center"/>
                        <w:hideMark/>
                      </w:tcPr>
                      <w:p w14:paraId="411D3F62" w14:textId="77777777" w:rsidR="009A1EA5" w:rsidRDefault="009A1EA5" w:rsidP="00995E21">
                        <w:pPr>
                          <w:rPr>
                            <w:rFonts w:eastAsia="Times New Roman"/>
                          </w:rPr>
                        </w:pPr>
                      </w:p>
                    </w:tc>
                    <w:tc>
                      <w:tcPr>
                        <w:tcW w:w="8700" w:type="dxa"/>
                        <w:vAlign w:val="center"/>
                        <w:hideMark/>
                      </w:tcPr>
                      <w:p w14:paraId="1A156D58" w14:textId="77777777" w:rsidR="009A1EA5" w:rsidRDefault="009A1EA5" w:rsidP="00995E21">
                        <w:pPr>
                          <w:rPr>
                            <w:rFonts w:ascii="Times New Roman" w:eastAsia="Times New Roman" w:hAnsi="Times New Roman" w:cs="Times New Roman"/>
                            <w:sz w:val="20"/>
                            <w:szCs w:val="20"/>
                          </w:rPr>
                        </w:pPr>
                      </w:p>
                    </w:tc>
                    <w:tc>
                      <w:tcPr>
                        <w:tcW w:w="150" w:type="dxa"/>
                        <w:vAlign w:val="center"/>
                        <w:hideMark/>
                      </w:tcPr>
                      <w:p w14:paraId="43107B2C" w14:textId="77777777" w:rsidR="009A1EA5" w:rsidRDefault="009A1EA5" w:rsidP="00995E21">
                        <w:pPr>
                          <w:rPr>
                            <w:rFonts w:ascii="Times New Roman" w:eastAsia="Times New Roman" w:hAnsi="Times New Roman" w:cs="Times New Roman"/>
                            <w:sz w:val="20"/>
                            <w:szCs w:val="20"/>
                          </w:rPr>
                        </w:pPr>
                      </w:p>
                    </w:tc>
                  </w:tr>
                  <w:tr w:rsidR="009A1EA5" w14:paraId="51A7DF48" w14:textId="77777777">
                    <w:trPr>
                      <w:tblCellSpacing w:w="15" w:type="dxa"/>
                      <w:jc w:val="center"/>
                    </w:trPr>
                    <w:tc>
                      <w:tcPr>
                        <w:tcW w:w="150" w:type="dxa"/>
                        <w:vAlign w:val="center"/>
                        <w:hideMark/>
                      </w:tcPr>
                      <w:p w14:paraId="6A07643D" w14:textId="77777777" w:rsidR="009A1EA5" w:rsidRDefault="009A1EA5" w:rsidP="00995E21">
                        <w:pPr>
                          <w:rPr>
                            <w:rFonts w:ascii="Times New Roman" w:eastAsia="Times New Roman" w:hAnsi="Times New Roman" w:cs="Times New Roman"/>
                            <w:sz w:val="20"/>
                            <w:szCs w:val="20"/>
                          </w:rPr>
                        </w:pPr>
                      </w:p>
                    </w:tc>
                    <w:tc>
                      <w:tcPr>
                        <w:tcW w:w="8700" w:type="dxa"/>
                        <w:vAlign w:val="center"/>
                        <w:hideMark/>
                      </w:tcPr>
                      <w:p w14:paraId="389D6661" w14:textId="77777777"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96D7880" w14:textId="77777777"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47963F">
                            <v:rect id="_x0000_i1032" style="width:468pt;height:1.5pt" o:hrstd="t" o:hr="t" fillcolor="#a0a0a0" stroked="f"/>
                          </w:pict>
                        </w:r>
                      </w:p>
                      <w:p w14:paraId="47B47122" w14:textId="5F15BC54" w:rsidR="009A1EA5" w:rsidRDefault="009A1EA5" w:rsidP="00995E21">
                        <w:pPr>
                          <w:pStyle w:val="Heading2"/>
                          <w:rPr>
                            <w:rFonts w:eastAsia="Times New Roman"/>
                          </w:rPr>
                        </w:pPr>
                        <w:r>
                          <w:rPr>
                            <w:rFonts w:eastAsia="Times New Roman"/>
                          </w:rPr>
                          <w:t>In this update: Over 3 million pharmacy flu vacs administered; Temporary Safeguarding Payment claims; PSNC's C-19 response in 2020/21.</w:t>
                        </w:r>
                      </w:p>
                      <w:p w14:paraId="70650CC0" w14:textId="77777777"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5BD82A">
                            <v:rect id="_x0000_i1033" style="width:468pt;height:1.5pt" o:hrstd="t" o:hr="t" fillcolor="#a0a0a0" stroked="f"/>
                          </w:pict>
                        </w:r>
                      </w:p>
                      <w:p w14:paraId="6FA71510" w14:textId="77777777" w:rsidR="009A1EA5" w:rsidRDefault="009A1EA5" w:rsidP="00995E21">
                        <w:pPr>
                          <w:pStyle w:val="Heading3"/>
                          <w:rPr>
                            <w:rFonts w:eastAsia="Times New Roman"/>
                          </w:rPr>
                        </w:pPr>
                        <w:r>
                          <w:rPr>
                            <w:rFonts w:eastAsia="Times New Roman"/>
                          </w:rPr>
                          <w:t>Over 3 million flu vaccinations administered in eight weeks</w:t>
                        </w:r>
                      </w:p>
                      <w:p w14:paraId="77DFF5A1" w14:textId="5FE6CD36"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have proved yet again that they can deliver vital public health services at scale and pace, having administered over 3 million flu vaccinations under the national Flu Vaccination Service in just eight weeks, which is a new record for the sector. If vaccinations continue at this pace, pharmacies could be on track to top 4 million flu vaccinations this season.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w:t>
                          </w:r>
                        </w:hyperlink>
                        <w:r>
                          <w:rPr>
                            <w:rFonts w:ascii="Tahoma" w:eastAsia="Times New Roman" w:hAnsi="Tahoma" w:cs="Tahoma"/>
                            <w:color w:val="303030"/>
                            <w:sz w:val="21"/>
                            <w:szCs w:val="21"/>
                          </w:rPr>
                          <w:t xml:space="preserve"> </w:t>
                        </w:r>
                      </w:p>
                      <w:p w14:paraId="65DF1434" w14:textId="77777777" w:rsidR="009A1EA5" w:rsidRDefault="009A1EA5" w:rsidP="00995E21">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PSNC Policy Team Video Update</w:t>
                        </w:r>
                        <w:r>
                          <w:rPr>
                            <w:rFonts w:ascii="Tahoma" w:hAnsi="Tahoma" w:cs="Tahoma"/>
                            <w:color w:val="303030"/>
                            <w:sz w:val="21"/>
                            <w:szCs w:val="21"/>
                          </w:rPr>
                          <w:br/>
                          <w:t>In this month's video, our Director of NHS Services praises the efforts of community pharmacy teams in breaking their previous flu vaccination record and reflects on how important this achievement is in demonstrating what pharmacies are capable of, given the right support.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Watch the update</w:t>
                          </w:r>
                        </w:hyperlink>
                      </w:p>
                      <w:p w14:paraId="3A16EC54" w14:textId="77777777"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807E9A">
                            <v:rect id="_x0000_i1034" style="width:468pt;height:1.5pt" o:hrstd="t" o:hr="t" fillcolor="#a0a0a0" stroked="f"/>
                          </w:pict>
                        </w:r>
                      </w:p>
                      <w:p w14:paraId="1C751966" w14:textId="77777777" w:rsidR="009A1EA5" w:rsidRDefault="009A1EA5" w:rsidP="00995E21">
                        <w:pPr>
                          <w:pStyle w:val="Heading3"/>
                          <w:rPr>
                            <w:rFonts w:eastAsia="Times New Roman"/>
                          </w:rPr>
                        </w:pPr>
                        <w:r>
                          <w:rPr>
                            <w:rFonts w:eastAsia="Times New Roman"/>
                          </w:rPr>
                          <w:t>Submission route for Temporary Safeguarding Payment claims</w:t>
                        </w:r>
                      </w:p>
                      <w:p w14:paraId="535C3173" w14:textId="345B83A2"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Earlier this month, PSNC reported on the introduction of a new electronic claims process for Temporary Safeguarding Payments coming into effect from 1st October 2021. However, as this change is not reflected in the October or November 2021 Drug Tariffs, </w:t>
                        </w:r>
                        <w:r>
                          <w:rPr>
                            <w:rStyle w:val="Strong"/>
                            <w:rFonts w:ascii="Tahoma" w:eastAsia="Times New Roman" w:hAnsi="Tahoma" w:cs="Tahoma"/>
                            <w:color w:val="303030"/>
                            <w:sz w:val="21"/>
                            <w:szCs w:val="21"/>
                          </w:rPr>
                          <w:t>contractors who wish to claim this payment must continue to print and complete a </w:t>
                        </w:r>
                        <w:hyperlink r:id="rId10" w:tgtFrame="_blank" w:tooltip="https://www.nhsbsa.nhs.uk/pharmacies-gp-practices-and-appliance-contractors/drug-tariff/drug-tariff-part-xiv" w:history="1">
                          <w:r>
                            <w:rPr>
                              <w:rStyle w:val="Hyperlink"/>
                              <w:rFonts w:ascii="Tahoma" w:eastAsia="Times New Roman" w:hAnsi="Tahoma" w:cs="Tahoma"/>
                              <w:b/>
                              <w:bCs/>
                              <w:color w:val="4E3487"/>
                              <w:sz w:val="21"/>
                              <w:szCs w:val="21"/>
                            </w:rPr>
                            <w:t>paper-based claim form</w:t>
                          </w:r>
                        </w:hyperlink>
                        <w:r>
                          <w:rPr>
                            <w:rStyle w:val="Strong"/>
                            <w:rFonts w:ascii="Tahoma" w:eastAsia="Times New Roman" w:hAnsi="Tahoma" w:cs="Tahoma"/>
                            <w:color w:val="303030"/>
                            <w:sz w:val="21"/>
                            <w:szCs w:val="21"/>
                          </w:rPr>
                          <w:t> to submit along with their copy of the FP34C submission document for that month</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t>PSNC expect the changes to be outlined in the December 2021 Drug Tariff at which point contractors can submit their claims for Temporary Safeguarding Payments via email to the NHS Business Services Authority (NHSBSA).</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Learn more about Temporary Safeguarding Payments</w:t>
                          </w:r>
                        </w:hyperlink>
                        <w:r>
                          <w:rPr>
                            <w:rFonts w:ascii="Tahoma" w:eastAsia="Times New Roman" w:hAnsi="Tahoma" w:cs="Tahoma"/>
                            <w:color w:val="303030"/>
                            <w:sz w:val="21"/>
                            <w:szCs w:val="21"/>
                          </w:rPr>
                          <w:t xml:space="preserve"> </w:t>
                        </w:r>
                      </w:p>
                      <w:p w14:paraId="7632BA11" w14:textId="3EC16CF1"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78800100">
                            <v:rect id="_x0000_i1036" style="width:468pt;height:1.5pt" o:hrstd="t" o:hr="t" fillcolor="#a0a0a0" stroked="f"/>
                          </w:pict>
                        </w:r>
                      </w:p>
                      <w:p w14:paraId="131925CD" w14:textId="77777777" w:rsidR="009A1EA5" w:rsidRDefault="009A1EA5" w:rsidP="00995E21">
                        <w:pPr>
                          <w:pStyle w:val="Heading3"/>
                          <w:rPr>
                            <w:rFonts w:eastAsia="Times New Roman"/>
                          </w:rPr>
                        </w:pPr>
                        <w:r>
                          <w:rPr>
                            <w:rFonts w:eastAsia="Times New Roman"/>
                          </w:rPr>
                          <w:t>2020/21: COVID-19 Response </w:t>
                        </w:r>
                      </w:p>
                      <w:p w14:paraId="46CBD442" w14:textId="6A30F789" w:rsidR="009A1EA5" w:rsidRDefault="009A1EA5" w:rsidP="00995E2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Coronavirus pandemic saw community pharmacy teams rushing to respond to the most significant healthcare crisis they and the NHS had ever faced. Throughout 2020/21, PSNC worked tirelessly to secure the monies, support, and tools that contractors needed to continue providing vital healthcare services. This work included securing contractual dispensations that allowed contractors greater flexibility regarding opening hours and temporary closures, along with emergency funding for the sector.</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You can learn more about PSNC’s work to support community pharmacy contractors throughout the pandemic in our Annual Report.   </w:t>
                        </w:r>
                      </w:p>
                      <w:p w14:paraId="149AB6F4" w14:textId="77777777" w:rsidR="009A1EA5" w:rsidRDefault="009A1EA5" w:rsidP="00995E21">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See PSNC's annual report online</w:t>
                          </w:r>
                        </w:hyperlink>
                        <w:r>
                          <w:rPr>
                            <w:rFonts w:ascii="Tahoma" w:hAnsi="Tahoma" w:cs="Tahoma"/>
                            <w:color w:val="303030"/>
                            <w:sz w:val="21"/>
                            <w:szCs w:val="21"/>
                          </w:rPr>
                          <w:t>  </w:t>
                        </w:r>
                      </w:p>
                      <w:p w14:paraId="0E69735A" w14:textId="77777777" w:rsidR="009A1EA5" w:rsidRDefault="009A1EA5" w:rsidP="00995E21">
                        <w:pPr>
                          <w:pStyle w:val="NormalWeb"/>
                          <w:spacing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Watch the annual report through video</w:t>
                          </w:r>
                        </w:hyperlink>
                        <w:r>
                          <w:rPr>
                            <w:rFonts w:ascii="Tahoma" w:hAnsi="Tahoma" w:cs="Tahoma"/>
                            <w:color w:val="303030"/>
                            <w:sz w:val="21"/>
                            <w:szCs w:val="21"/>
                          </w:rPr>
                          <w:t> </w:t>
                        </w:r>
                      </w:p>
                    </w:tc>
                    <w:tc>
                      <w:tcPr>
                        <w:tcW w:w="150" w:type="dxa"/>
                        <w:vAlign w:val="center"/>
                        <w:hideMark/>
                      </w:tcPr>
                      <w:p w14:paraId="7E7B0CD2" w14:textId="77777777" w:rsidR="009A1EA5" w:rsidRDefault="009A1EA5" w:rsidP="00995E21">
                        <w:pPr>
                          <w:rPr>
                            <w:rFonts w:ascii="Tahoma" w:hAnsi="Tahoma" w:cs="Tahoma"/>
                            <w:color w:val="303030"/>
                            <w:sz w:val="21"/>
                            <w:szCs w:val="21"/>
                          </w:rPr>
                        </w:pPr>
                      </w:p>
                    </w:tc>
                  </w:tr>
                  <w:tr w:rsidR="009A1EA5" w14:paraId="2D5CF0E8" w14:textId="77777777">
                    <w:trPr>
                      <w:trHeight w:val="150"/>
                      <w:tblCellSpacing w:w="15" w:type="dxa"/>
                      <w:jc w:val="center"/>
                    </w:trPr>
                    <w:tc>
                      <w:tcPr>
                        <w:tcW w:w="150" w:type="dxa"/>
                        <w:vAlign w:val="center"/>
                        <w:hideMark/>
                      </w:tcPr>
                      <w:p w14:paraId="302DA4E6" w14:textId="77777777" w:rsidR="009A1EA5" w:rsidRDefault="009A1EA5" w:rsidP="00995E21">
                        <w:pPr>
                          <w:rPr>
                            <w:rFonts w:ascii="Times New Roman" w:eastAsia="Times New Roman" w:hAnsi="Times New Roman" w:cs="Times New Roman"/>
                            <w:sz w:val="20"/>
                            <w:szCs w:val="20"/>
                          </w:rPr>
                        </w:pPr>
                      </w:p>
                    </w:tc>
                    <w:tc>
                      <w:tcPr>
                        <w:tcW w:w="8700" w:type="dxa"/>
                        <w:vAlign w:val="center"/>
                        <w:hideMark/>
                      </w:tcPr>
                      <w:p w14:paraId="621BD9EE" w14:textId="77777777" w:rsidR="009A1EA5" w:rsidRDefault="009A1EA5" w:rsidP="00995E21">
                        <w:pPr>
                          <w:rPr>
                            <w:rFonts w:ascii="Times New Roman" w:eastAsia="Times New Roman" w:hAnsi="Times New Roman" w:cs="Times New Roman"/>
                            <w:sz w:val="20"/>
                            <w:szCs w:val="20"/>
                          </w:rPr>
                        </w:pPr>
                      </w:p>
                    </w:tc>
                    <w:tc>
                      <w:tcPr>
                        <w:tcW w:w="150" w:type="dxa"/>
                        <w:vAlign w:val="center"/>
                        <w:hideMark/>
                      </w:tcPr>
                      <w:p w14:paraId="61845926" w14:textId="77777777" w:rsidR="009A1EA5" w:rsidRDefault="009A1EA5" w:rsidP="00995E21">
                        <w:pPr>
                          <w:rPr>
                            <w:rFonts w:ascii="Times New Roman" w:eastAsia="Times New Roman" w:hAnsi="Times New Roman" w:cs="Times New Roman"/>
                            <w:sz w:val="20"/>
                            <w:szCs w:val="20"/>
                          </w:rPr>
                        </w:pPr>
                      </w:p>
                    </w:tc>
                  </w:tr>
                </w:tbl>
                <w:p w14:paraId="6192AF8C" w14:textId="77777777" w:rsidR="009A1EA5" w:rsidRDefault="009A1EA5" w:rsidP="00995E21">
                  <w:pPr>
                    <w:rPr>
                      <w:rFonts w:ascii="Times New Roman" w:eastAsia="Times New Roman" w:hAnsi="Times New Roman" w:cs="Times New Roman"/>
                      <w:sz w:val="20"/>
                      <w:szCs w:val="20"/>
                    </w:rPr>
                  </w:pPr>
                </w:p>
              </w:tc>
            </w:tr>
          </w:tbl>
          <w:p w14:paraId="782D82D2" w14:textId="77777777" w:rsidR="009A1EA5" w:rsidRDefault="009A1EA5">
            <w:pPr>
              <w:jc w:val="center"/>
              <w:rPr>
                <w:rFonts w:ascii="Times New Roman" w:eastAsia="Times New Roman" w:hAnsi="Times New Roman" w:cs="Times New Roman"/>
                <w:sz w:val="20"/>
                <w:szCs w:val="20"/>
              </w:rPr>
            </w:pPr>
          </w:p>
        </w:tc>
      </w:tr>
      <w:tr w:rsidR="009A1EA5" w14:paraId="1DADFEB1" w14:textId="77777777" w:rsidTr="009A1EA5">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A1EA5" w14:paraId="7C8B616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A1EA5" w14:paraId="0E1B0E53" w14:textId="77777777">
                    <w:trPr>
                      <w:tblCellSpacing w:w="0" w:type="dxa"/>
                      <w:jc w:val="center"/>
                    </w:trPr>
                    <w:tc>
                      <w:tcPr>
                        <w:tcW w:w="3000" w:type="dxa"/>
                        <w:tcMar>
                          <w:top w:w="30" w:type="dxa"/>
                          <w:left w:w="75" w:type="dxa"/>
                          <w:bottom w:w="30" w:type="dxa"/>
                          <w:right w:w="75" w:type="dxa"/>
                        </w:tcMar>
                        <w:hideMark/>
                      </w:tcPr>
                      <w:p w14:paraId="0525D076" w14:textId="77777777" w:rsidR="009A1EA5" w:rsidRDefault="009A1EA5">
                        <w:pPr>
                          <w:pStyle w:val="Heading4"/>
                          <w:jc w:val="center"/>
                          <w:rPr>
                            <w:rFonts w:eastAsia="Times New Roman"/>
                          </w:rPr>
                        </w:pPr>
                        <w:r>
                          <w:rPr>
                            <w:rFonts w:eastAsia="Times New Roman"/>
                          </w:rPr>
                          <w:lastRenderedPageBreak/>
                          <w:t>Pharmaceutical Services Negotiating Committee</w:t>
                        </w:r>
                      </w:p>
                      <w:p w14:paraId="16BAE9E1" w14:textId="36E5BEF1" w:rsidR="009A1EA5" w:rsidRDefault="009A1EA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1B35290" wp14:editId="2060A6A5">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7733801" wp14:editId="28F4193A">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A384219" wp14:editId="65718A9C">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B4C9AB7" wp14:editId="3A275426">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BAB1A42" w14:textId="77777777" w:rsidR="009A1EA5" w:rsidRDefault="009A1EA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A1EA5" w14:paraId="30767FD9" w14:textId="77777777" w:rsidTr="00995E21">
                    <w:trPr>
                      <w:trHeight w:val="20"/>
                      <w:tblCellSpacing w:w="0" w:type="dxa"/>
                      <w:jc w:val="center"/>
                    </w:trPr>
                    <w:tc>
                      <w:tcPr>
                        <w:tcW w:w="9000" w:type="dxa"/>
                        <w:tcMar>
                          <w:top w:w="150" w:type="dxa"/>
                          <w:left w:w="0" w:type="dxa"/>
                          <w:bottom w:w="0" w:type="dxa"/>
                          <w:right w:w="0" w:type="dxa"/>
                        </w:tcMar>
                        <w:vAlign w:val="center"/>
                        <w:hideMark/>
                      </w:tcPr>
                      <w:p w14:paraId="3F015068" w14:textId="2EE08C72" w:rsidR="009A1EA5" w:rsidRDefault="009A1EA5" w:rsidP="00995E21">
                        <w:pPr>
                          <w:rPr>
                            <w:rFonts w:ascii="Arial" w:eastAsia="Times New Roman" w:hAnsi="Arial" w:cs="Arial"/>
                            <w:color w:val="FFFFFF"/>
                            <w:sz w:val="17"/>
                            <w:szCs w:val="17"/>
                          </w:rPr>
                        </w:pPr>
                      </w:p>
                    </w:tc>
                  </w:tr>
                </w:tbl>
                <w:p w14:paraId="4D13680C" w14:textId="77777777" w:rsidR="009A1EA5" w:rsidRDefault="009A1EA5">
                  <w:pPr>
                    <w:jc w:val="center"/>
                    <w:rPr>
                      <w:rFonts w:ascii="Times New Roman" w:eastAsia="Times New Roman" w:hAnsi="Times New Roman" w:cs="Times New Roman"/>
                      <w:sz w:val="20"/>
                      <w:szCs w:val="20"/>
                    </w:rPr>
                  </w:pPr>
                </w:p>
              </w:tc>
            </w:tr>
          </w:tbl>
          <w:p w14:paraId="0A23E251" w14:textId="77777777" w:rsidR="009A1EA5" w:rsidRDefault="009A1EA5">
            <w:pPr>
              <w:jc w:val="center"/>
              <w:rPr>
                <w:rFonts w:ascii="Times New Roman" w:eastAsia="Times New Roman" w:hAnsi="Times New Roman" w:cs="Times New Roman"/>
                <w:sz w:val="20"/>
                <w:szCs w:val="20"/>
              </w:rPr>
            </w:pPr>
          </w:p>
        </w:tc>
      </w:tr>
    </w:tbl>
    <w:p w14:paraId="371087CB" w14:textId="18785B3A" w:rsidR="009A1EA5" w:rsidRDefault="009A1EA5" w:rsidP="009A1EA5">
      <w:pPr>
        <w:rPr>
          <w:rFonts w:eastAsia="Times New Roman"/>
        </w:rPr>
      </w:pPr>
      <w:r>
        <w:rPr>
          <w:rFonts w:eastAsia="Times New Roman"/>
          <w:noProof/>
        </w:rPr>
        <w:drawing>
          <wp:inline distT="0" distB="0" distL="0" distR="0" wp14:anchorId="04D82BF6" wp14:editId="01CFB5A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C47364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A5"/>
    <w:rsid w:val="00995E21"/>
    <w:rsid w:val="009A1EA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715A"/>
  <w15:chartTrackingRefBased/>
  <w15:docId w15:val="{FC9F8FFF-F5FE-4CAB-93B0-7F4EB298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A5"/>
    <w:rPr>
      <w:rFonts w:ascii="Calibri" w:hAnsi="Calibri" w:cs="Calibri"/>
      <w:lang w:eastAsia="en-GB"/>
    </w:rPr>
  </w:style>
  <w:style w:type="paragraph" w:styleId="Heading1">
    <w:name w:val="heading 1"/>
    <w:basedOn w:val="Normal"/>
    <w:link w:val="Heading1Char"/>
    <w:uiPriority w:val="9"/>
    <w:qFormat/>
    <w:rsid w:val="009A1EA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A1EA5"/>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A1EA5"/>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A1EA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EA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A1EA5"/>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9A1EA5"/>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A1EA5"/>
    <w:rPr>
      <w:rFonts w:ascii="Tahoma" w:hAnsi="Tahoma" w:cs="Tahoma"/>
      <w:b/>
      <w:bCs/>
      <w:color w:val="FFFFFF"/>
      <w:sz w:val="18"/>
      <w:szCs w:val="18"/>
      <w:lang w:eastAsia="en-GB"/>
    </w:rPr>
  </w:style>
  <w:style w:type="paragraph" w:styleId="NormalWeb">
    <w:name w:val="Normal (Web)"/>
    <w:basedOn w:val="Normal"/>
    <w:uiPriority w:val="99"/>
    <w:semiHidden/>
    <w:unhideWhenUsed/>
    <w:rsid w:val="009A1EA5"/>
    <w:pPr>
      <w:spacing w:before="100" w:beforeAutospacing="1" w:after="100" w:afterAutospacing="1"/>
    </w:pPr>
  </w:style>
  <w:style w:type="character" w:styleId="Strong">
    <w:name w:val="Strong"/>
    <w:basedOn w:val="DefaultParagraphFont"/>
    <w:uiPriority w:val="22"/>
    <w:qFormat/>
    <w:rsid w:val="009A1EA5"/>
    <w:rPr>
      <w:b/>
      <w:bCs/>
    </w:rPr>
  </w:style>
  <w:style w:type="character" w:styleId="Hyperlink">
    <w:name w:val="Hyperlink"/>
    <w:basedOn w:val="DefaultParagraphFont"/>
    <w:uiPriority w:val="99"/>
    <w:semiHidden/>
    <w:unhideWhenUsed/>
    <w:rsid w:val="009A1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13d06862f6&amp;e=d19e9fd41c" TargetMode="External"/><Relationship Id="rId13" Type="http://schemas.openxmlformats.org/officeDocument/2006/relationships/hyperlink" Target="https://psnc.us7.list-manage.com/track/click?u=86d41ab7fa4c7c2c5d7210782&amp;id=eefed00678&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b16dcb840&amp;e=d19e9fd41c" TargetMode="External"/><Relationship Id="rId17" Type="http://schemas.openxmlformats.org/officeDocument/2006/relationships/hyperlink" Target="https://psnc.us7.list-manage.com/track/click?u=86d41ab7fa4c7c2c5d7210782&amp;id=911ba2feb0&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628bce8fbe&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5bb678da9c&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5e64cce0c2&amp;e=d19e9fd41c" TargetMode="External"/><Relationship Id="rId28" Type="http://schemas.openxmlformats.org/officeDocument/2006/relationships/image" Target="https://psnc.us7.list-manage.com/track/open.php?u=86d41ab7fa4c7c2c5d7210782&amp;id=f18c467ef6&amp;e=d19e9fd41c" TargetMode="External"/><Relationship Id="rId10" Type="http://schemas.openxmlformats.org/officeDocument/2006/relationships/hyperlink" Target="https://psnc.us7.list-manage.com/track/click?u=86d41ab7fa4c7c2c5d7210782&amp;id=a59f114712&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70b34c49c6&amp;e=d19e9fd41c" TargetMode="External"/><Relationship Id="rId14" Type="http://schemas.openxmlformats.org/officeDocument/2006/relationships/hyperlink" Target="https://psnc.us7.list-manage.com/track/click?u=86d41ab7fa4c7c2c5d7210782&amp;id=78bf6ff900&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2021-11-01T09:04:00Z</dcterms:created>
  <dcterms:modified xsi:type="dcterms:W3CDTF">2021-11-01T10:18:00Z</dcterms:modified>
</cp:coreProperties>
</file>