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91C71" w14:paraId="35B8E562" w14:textId="77777777" w:rsidTr="00E91C71">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E91C71" w14:paraId="029812D4" w14:textId="77777777" w:rsidTr="00481DF6">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91C71" w14:paraId="39CC1984" w14:textId="77777777">
                    <w:trPr>
                      <w:tblCellSpacing w:w="0" w:type="dxa"/>
                      <w:jc w:val="center"/>
                    </w:trPr>
                    <w:tc>
                      <w:tcPr>
                        <w:tcW w:w="3000" w:type="dxa"/>
                        <w:hideMark/>
                      </w:tcPr>
                      <w:p w14:paraId="3141865B" w14:textId="00819DF3" w:rsidR="00E91C71" w:rsidRDefault="00EC3AB2" w:rsidP="00EC3AB2">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5FBA93A" w14:textId="77777777" w:rsidR="00E91C71" w:rsidRDefault="00E91C71">
                  <w:pPr>
                    <w:jc w:val="center"/>
                    <w:rPr>
                      <w:rFonts w:ascii="Times New Roman" w:eastAsia="Times New Roman" w:hAnsi="Times New Roman" w:cs="Times New Roman"/>
                      <w:sz w:val="20"/>
                      <w:szCs w:val="20"/>
                    </w:rPr>
                  </w:pPr>
                </w:p>
              </w:tc>
            </w:tr>
            <w:tr w:rsidR="00E91C71" w14:paraId="0FFC54CF" w14:textId="77777777" w:rsidTr="00481DF6">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91C71" w14:paraId="408808A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342B0DE" w14:textId="16D84EF1" w:rsidR="00E91C71" w:rsidRDefault="00E91C71">
                        <w:pPr>
                          <w:jc w:val="center"/>
                          <w:rPr>
                            <w:rFonts w:eastAsia="Times New Roman"/>
                          </w:rPr>
                        </w:pPr>
                        <w:r>
                          <w:rPr>
                            <w:rFonts w:eastAsia="Times New Roman"/>
                            <w:noProof/>
                          </w:rPr>
                          <w:drawing>
                            <wp:inline distT="0" distB="0" distL="0" distR="0" wp14:anchorId="034A27B9" wp14:editId="2351DEAD">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E91C71" w14:paraId="2FEDBC3A" w14:textId="77777777">
                    <w:trPr>
                      <w:tblCellSpacing w:w="0" w:type="dxa"/>
                    </w:trPr>
                    <w:tc>
                      <w:tcPr>
                        <w:tcW w:w="0" w:type="auto"/>
                        <w:vMerge/>
                        <w:tcBorders>
                          <w:top w:val="nil"/>
                          <w:left w:val="nil"/>
                          <w:bottom w:val="single" w:sz="2" w:space="0" w:color="FFFFFF"/>
                          <w:right w:val="nil"/>
                        </w:tcBorders>
                        <w:vAlign w:val="center"/>
                        <w:hideMark/>
                      </w:tcPr>
                      <w:p w14:paraId="3DC06D2B" w14:textId="77777777" w:rsidR="00E91C71" w:rsidRDefault="00E91C71">
                        <w:pPr>
                          <w:rPr>
                            <w:rFonts w:eastAsia="Times New Roman"/>
                          </w:rPr>
                        </w:pPr>
                      </w:p>
                    </w:tc>
                    <w:tc>
                      <w:tcPr>
                        <w:tcW w:w="3450" w:type="dxa"/>
                        <w:tcBorders>
                          <w:top w:val="nil"/>
                          <w:left w:val="nil"/>
                          <w:bottom w:val="nil"/>
                          <w:right w:val="nil"/>
                        </w:tcBorders>
                        <w:vAlign w:val="center"/>
                        <w:hideMark/>
                      </w:tcPr>
                      <w:p w14:paraId="1A28F28D" w14:textId="77777777" w:rsidR="00E91C71" w:rsidRDefault="00E91C71">
                        <w:pPr>
                          <w:pStyle w:val="Heading1"/>
                          <w:rPr>
                            <w:rFonts w:eastAsia="Times New Roman"/>
                          </w:rPr>
                        </w:pPr>
                        <w:r>
                          <w:rPr>
                            <w:rFonts w:eastAsia="Times New Roman"/>
                          </w:rPr>
                          <w:t>PSNC Newsletter</w:t>
                        </w:r>
                      </w:p>
                    </w:tc>
                  </w:tr>
                  <w:tr w:rsidR="00E91C71" w14:paraId="27807668" w14:textId="77777777">
                    <w:trPr>
                      <w:tblCellSpacing w:w="0" w:type="dxa"/>
                    </w:trPr>
                    <w:tc>
                      <w:tcPr>
                        <w:tcW w:w="0" w:type="auto"/>
                        <w:vMerge/>
                        <w:tcBorders>
                          <w:top w:val="nil"/>
                          <w:left w:val="nil"/>
                          <w:bottom w:val="single" w:sz="2" w:space="0" w:color="FFFFFF"/>
                          <w:right w:val="nil"/>
                        </w:tcBorders>
                        <w:vAlign w:val="center"/>
                        <w:hideMark/>
                      </w:tcPr>
                      <w:p w14:paraId="4E5ACEF7" w14:textId="77777777" w:rsidR="00E91C71" w:rsidRDefault="00E91C7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CC2C807" w14:textId="77777777" w:rsidR="00E91C71" w:rsidRDefault="00E91C71">
                        <w:pPr>
                          <w:pStyle w:val="Heading2"/>
                          <w:rPr>
                            <w:rFonts w:eastAsia="Times New Roman"/>
                            <w:color w:val="93378A"/>
                          </w:rPr>
                        </w:pPr>
                        <w:r>
                          <w:rPr>
                            <w:rFonts w:eastAsia="Times New Roman"/>
                            <w:color w:val="93378A"/>
                          </w:rPr>
                          <w:t>Friday 19th November 2021</w:t>
                        </w:r>
                      </w:p>
                    </w:tc>
                  </w:tr>
                </w:tbl>
                <w:p w14:paraId="064B40A9" w14:textId="77777777" w:rsidR="00E91C71" w:rsidRDefault="00E91C71">
                  <w:pPr>
                    <w:rPr>
                      <w:rFonts w:ascii="Times New Roman" w:eastAsia="Times New Roman" w:hAnsi="Times New Roman" w:cs="Times New Roman"/>
                      <w:sz w:val="20"/>
                      <w:szCs w:val="20"/>
                    </w:rPr>
                  </w:pPr>
                </w:p>
              </w:tc>
            </w:tr>
            <w:tr w:rsidR="00E91C71" w14:paraId="7DC4C4A0" w14:textId="77777777" w:rsidTr="00481DF6">
              <w:tblPrEx>
                <w:shd w:val="clear" w:color="auto" w:fill="auto"/>
              </w:tblPrEx>
              <w:trPr>
                <w:tblCellSpacing w:w="0" w:type="dxa"/>
                <w:jc w:val="center"/>
              </w:trPr>
              <w:tc>
                <w:tcPr>
                  <w:tcW w:w="9026" w:type="dxa"/>
                  <w:gridSpan w:val="2"/>
                  <w:hideMark/>
                </w:tcPr>
                <w:p w14:paraId="5E4E52A1" w14:textId="20BD0777" w:rsidR="00E91C71" w:rsidRDefault="00E91C71">
                  <w:pPr>
                    <w:rPr>
                      <w:rFonts w:eastAsia="Times New Roman"/>
                    </w:rPr>
                  </w:pPr>
                  <w:r>
                    <w:rPr>
                      <w:rFonts w:eastAsia="Times New Roman"/>
                      <w:noProof/>
                    </w:rPr>
                    <w:drawing>
                      <wp:inline distT="0" distB="0" distL="0" distR="0" wp14:anchorId="4EE298CE" wp14:editId="31157F2F">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E91C71" w14:paraId="6DAC0CD5" w14:textId="77777777" w:rsidTr="00481DF6">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E91C71" w14:paraId="0486A00A" w14:textId="77777777">
                    <w:trPr>
                      <w:trHeight w:val="150"/>
                      <w:tblCellSpacing w:w="15" w:type="dxa"/>
                      <w:jc w:val="center"/>
                    </w:trPr>
                    <w:tc>
                      <w:tcPr>
                        <w:tcW w:w="150" w:type="dxa"/>
                        <w:vAlign w:val="center"/>
                        <w:hideMark/>
                      </w:tcPr>
                      <w:p w14:paraId="00B81BAD" w14:textId="77777777" w:rsidR="00E91C71" w:rsidRDefault="00E91C71">
                        <w:pPr>
                          <w:rPr>
                            <w:rFonts w:eastAsia="Times New Roman"/>
                          </w:rPr>
                        </w:pPr>
                      </w:p>
                    </w:tc>
                    <w:tc>
                      <w:tcPr>
                        <w:tcW w:w="8700" w:type="dxa"/>
                        <w:vAlign w:val="center"/>
                        <w:hideMark/>
                      </w:tcPr>
                      <w:p w14:paraId="320A5E8A" w14:textId="77777777" w:rsidR="00E91C71" w:rsidRDefault="00E91C71">
                        <w:pPr>
                          <w:rPr>
                            <w:rFonts w:ascii="Times New Roman" w:eastAsia="Times New Roman" w:hAnsi="Times New Roman" w:cs="Times New Roman"/>
                            <w:sz w:val="20"/>
                            <w:szCs w:val="20"/>
                          </w:rPr>
                        </w:pPr>
                      </w:p>
                    </w:tc>
                    <w:tc>
                      <w:tcPr>
                        <w:tcW w:w="150" w:type="dxa"/>
                        <w:vAlign w:val="center"/>
                        <w:hideMark/>
                      </w:tcPr>
                      <w:p w14:paraId="52D9B1CB" w14:textId="77777777" w:rsidR="00E91C71" w:rsidRDefault="00E91C71">
                        <w:pPr>
                          <w:rPr>
                            <w:rFonts w:ascii="Times New Roman" w:eastAsia="Times New Roman" w:hAnsi="Times New Roman" w:cs="Times New Roman"/>
                            <w:sz w:val="20"/>
                            <w:szCs w:val="20"/>
                          </w:rPr>
                        </w:pPr>
                      </w:p>
                    </w:tc>
                  </w:tr>
                  <w:tr w:rsidR="00E91C71" w14:paraId="1596067B" w14:textId="77777777">
                    <w:trPr>
                      <w:tblCellSpacing w:w="15" w:type="dxa"/>
                      <w:jc w:val="center"/>
                    </w:trPr>
                    <w:tc>
                      <w:tcPr>
                        <w:tcW w:w="150" w:type="dxa"/>
                        <w:vAlign w:val="center"/>
                        <w:hideMark/>
                      </w:tcPr>
                      <w:p w14:paraId="3BB64EFD" w14:textId="77777777" w:rsidR="00E91C71" w:rsidRDefault="00E91C71">
                        <w:pPr>
                          <w:rPr>
                            <w:rFonts w:ascii="Times New Roman" w:eastAsia="Times New Roman" w:hAnsi="Times New Roman" w:cs="Times New Roman"/>
                            <w:sz w:val="20"/>
                            <w:szCs w:val="20"/>
                          </w:rPr>
                        </w:pPr>
                      </w:p>
                    </w:tc>
                    <w:tc>
                      <w:tcPr>
                        <w:tcW w:w="8700" w:type="dxa"/>
                        <w:vAlign w:val="center"/>
                        <w:hideMark/>
                      </w:tcPr>
                      <w:p w14:paraId="5C0111F5" w14:textId="77777777" w:rsidR="00E91C71" w:rsidRDefault="00E91C7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301AB9DF" w14:textId="77777777" w:rsidR="00E91C71" w:rsidRDefault="00E91C7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60D044E">
                            <v:rect id="_x0000_i1032" style="width:468pt;height:1.5pt" o:hralign="center" o:hrstd="t" o:hr="t" fillcolor="#a0a0a0" stroked="f"/>
                          </w:pict>
                        </w:r>
                      </w:p>
                      <w:p w14:paraId="0C598000" w14:textId="77777777" w:rsidR="00E91C71" w:rsidRDefault="00E91C71">
                        <w:pPr>
                          <w:pStyle w:val="Heading2"/>
                          <w:rPr>
                            <w:rFonts w:eastAsia="Times New Roman"/>
                          </w:rPr>
                        </w:pPr>
                        <w:r>
                          <w:rPr>
                            <w:rFonts w:eastAsia="Times New Roman"/>
                          </w:rPr>
                          <w:t>In this update: Pharmacy Minister thanks pharmacies for pandemic work; LFD tests evaluation; SSP for Lipitor</w:t>
                        </w:r>
                        <w:r>
                          <w:rPr>
                            <w:rFonts w:eastAsia="Times New Roman"/>
                            <w:vertAlign w:val="superscript"/>
                          </w:rPr>
                          <w:t>®</w:t>
                        </w:r>
                        <w:r>
                          <w:rPr>
                            <w:rFonts w:eastAsia="Times New Roman"/>
                          </w:rPr>
                          <w:t xml:space="preserve"> tablets; NHSE&amp;I wellbeing event.</w:t>
                        </w:r>
                      </w:p>
                      <w:p w14:paraId="60902743" w14:textId="77777777" w:rsidR="00E91C71" w:rsidRDefault="00E91C7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C6B23A4">
                            <v:rect id="_x0000_i1033" style="width:468pt;height:1.5pt" o:hralign="center" o:hrstd="t" o:hr="t" fillcolor="#a0a0a0" stroked="f"/>
                          </w:pict>
                        </w:r>
                      </w:p>
                      <w:p w14:paraId="153F1613" w14:textId="77777777" w:rsidR="00E91C71" w:rsidRDefault="00E91C71">
                        <w:pPr>
                          <w:pStyle w:val="Heading3"/>
                          <w:rPr>
                            <w:rFonts w:eastAsia="Times New Roman"/>
                          </w:rPr>
                        </w:pPr>
                        <w:r>
                          <w:rPr>
                            <w:rFonts w:eastAsia="Times New Roman"/>
                          </w:rPr>
                          <w:t>Minister Maria Caulfield thanks pharmacies for pandemic work</w:t>
                        </w:r>
                      </w:p>
                      <w:p w14:paraId="303E9D7C" w14:textId="77777777" w:rsidR="00E91C71" w:rsidRDefault="00E91C71" w:rsidP="00C9585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PSNC this week had an introductory meeting with new pharmacy Minister, Maria Caulfield MP, at which the ongoing challenges facing the sector, as well as future opportunities for pharmacy businesses were considered.</w:t>
                        </w:r>
                        <w:r>
                          <w:rPr>
                            <w:rFonts w:ascii="Tahoma" w:hAnsi="Tahoma" w:cs="Tahoma"/>
                            <w:color w:val="303030"/>
                            <w:sz w:val="21"/>
                            <w:szCs w:val="21"/>
                          </w:rPr>
                          <w:br/>
                        </w:r>
                        <w:r>
                          <w:rPr>
                            <w:rFonts w:ascii="Tahoma" w:hAnsi="Tahoma" w:cs="Tahoma"/>
                            <w:color w:val="303030"/>
                            <w:sz w:val="21"/>
                            <w:szCs w:val="21"/>
                          </w:rPr>
                          <w:br/>
                          <w:t>The Minister asked PSNC to convey her thanks to all pharmacies for the work done by the sector through the COVID-19 pandemic. Patients, including her constituents, had really appreciated the sector through this time, she said.</w:t>
                        </w:r>
                        <w:r>
                          <w:rPr>
                            <w:rFonts w:ascii="Tahoma" w:hAnsi="Tahoma" w:cs="Tahoma"/>
                            <w:color w:val="303030"/>
                            <w:sz w:val="21"/>
                            <w:szCs w:val="21"/>
                          </w:rPr>
                          <w:br/>
                        </w:r>
                        <w:r>
                          <w:rPr>
                            <w:rFonts w:ascii="Tahoma" w:hAnsi="Tahoma" w:cs="Tahoma"/>
                            <w:color w:val="303030"/>
                            <w:sz w:val="21"/>
                            <w:szCs w:val="21"/>
                          </w:rPr>
                          <w:br/>
                          <w:t>As well as emphasising the value of the sector through the pandemic, the PSNC Leadership Team raised the very serious pressures on pharmacy businesses resulting from the ongoing funding squeeze, and the severity of capacity and workforce issues.</w:t>
                        </w:r>
                        <w:r>
                          <w:rPr>
                            <w:rFonts w:ascii="Tahoma" w:hAnsi="Tahoma" w:cs="Tahoma"/>
                            <w:color w:val="303030"/>
                            <w:sz w:val="21"/>
                            <w:szCs w:val="21"/>
                          </w:rPr>
                          <w:br/>
                        </w:r>
                        <w:r>
                          <w:rPr>
                            <w:rFonts w:ascii="Tahoma" w:hAnsi="Tahoma" w:cs="Tahoma"/>
                            <w:color w:val="303030"/>
                            <w:sz w:val="21"/>
                            <w:szCs w:val="21"/>
                          </w:rPr>
                          <w:br/>
                          <w:t>The changing nature of advice and support needed by patients walking into, and phoning pharmacies was also discussed, along with consideration of how pharmacies can be empowered to do more to support people with minor ailments.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PSNC's statement on the Ministerial meeting</w:t>
                          </w:r>
                        </w:hyperlink>
                      </w:p>
                      <w:p w14:paraId="6D2C7BEE" w14:textId="77777777" w:rsidR="00E91C71" w:rsidRDefault="00E91C71" w:rsidP="00C95855">
                        <w:pPr>
                          <w:rPr>
                            <w:rFonts w:ascii="Tahoma" w:eastAsia="Times New Roman" w:hAnsi="Tahoma" w:cs="Tahoma"/>
                            <w:color w:val="303030"/>
                            <w:sz w:val="21"/>
                            <w:szCs w:val="21"/>
                          </w:rPr>
                        </w:pPr>
                        <w:r>
                          <w:rPr>
                            <w:rFonts w:ascii="Tahoma" w:eastAsia="Times New Roman" w:hAnsi="Tahoma" w:cs="Tahoma"/>
                            <w:color w:val="303030"/>
                            <w:sz w:val="21"/>
                            <w:szCs w:val="21"/>
                          </w:rPr>
                          <w:pict w14:anchorId="5543155B">
                            <v:rect id="_x0000_i1034" style="width:468pt;height:1.5pt" o:hrstd="t" o:hr="t" fillcolor="#a0a0a0" stroked="f"/>
                          </w:pict>
                        </w:r>
                      </w:p>
                      <w:p w14:paraId="5E9B4A27" w14:textId="77777777" w:rsidR="00E91C71" w:rsidRDefault="00E91C71" w:rsidP="00C95855">
                        <w:pPr>
                          <w:pStyle w:val="Heading3"/>
                          <w:spacing w:after="0" w:line="240" w:lineRule="auto"/>
                          <w:rPr>
                            <w:rFonts w:eastAsia="Times New Roman"/>
                          </w:rPr>
                        </w:pPr>
                        <w:r>
                          <w:rPr>
                            <w:rFonts w:eastAsia="Times New Roman"/>
                          </w:rPr>
                          <w:t>Evaluation of LFD tests</w:t>
                        </w:r>
                      </w:p>
                      <w:p w14:paraId="06789B34" w14:textId="77777777" w:rsidR="00E91C71" w:rsidRDefault="00E91C71" w:rsidP="00C9585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In December, the UK Health Security Agency (UKHSA) will be sending some pharmacies, via Parcel Force, cartons of 15 combined COVID testing kits (containing both a standard Lateral Flow Device (LFD) pack along with one polymerase chain reaction (PCR) test).</w:t>
                        </w:r>
                        <w:r>
                          <w:rPr>
                            <w:rFonts w:ascii="Tahoma" w:hAnsi="Tahoma" w:cs="Tahoma"/>
                            <w:color w:val="303030"/>
                            <w:sz w:val="21"/>
                            <w:szCs w:val="21"/>
                          </w:rPr>
                          <w:br/>
                        </w:r>
                        <w:r>
                          <w:rPr>
                            <w:rFonts w:ascii="Tahoma" w:hAnsi="Tahoma" w:cs="Tahoma"/>
                            <w:color w:val="303030"/>
                            <w:sz w:val="21"/>
                            <w:szCs w:val="21"/>
                          </w:rPr>
                          <w:br/>
                          <w:t>A part of ongoing assessments of LFD test kits, this evaluation involves citizens taking a PCR test alongside one of their LFD tests and sending it to a lab for testing. There is no additional work for pharmacy teams to complete.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evaluation</w:t>
                          </w:r>
                        </w:hyperlink>
                      </w:p>
                      <w:p w14:paraId="5BE6D5FB" w14:textId="77777777" w:rsidR="00E91C71" w:rsidRDefault="00E91C71" w:rsidP="00C95855">
                        <w:pPr>
                          <w:rPr>
                            <w:rFonts w:ascii="Tahoma" w:eastAsia="Times New Roman" w:hAnsi="Tahoma" w:cs="Tahoma"/>
                            <w:color w:val="303030"/>
                            <w:sz w:val="21"/>
                            <w:szCs w:val="21"/>
                          </w:rPr>
                        </w:pPr>
                        <w:r>
                          <w:rPr>
                            <w:rFonts w:ascii="Tahoma" w:eastAsia="Times New Roman" w:hAnsi="Tahoma" w:cs="Tahoma"/>
                            <w:color w:val="303030"/>
                            <w:sz w:val="21"/>
                            <w:szCs w:val="21"/>
                          </w:rPr>
                          <w:pict w14:anchorId="0997288B">
                            <v:rect id="_x0000_i1035" style="width:468pt;height:1.5pt" o:hrstd="t" o:hr="t" fillcolor="#a0a0a0" stroked="f"/>
                          </w:pict>
                        </w:r>
                      </w:p>
                      <w:p w14:paraId="41ABF1F3" w14:textId="77777777" w:rsidR="00E91C71" w:rsidRDefault="00E91C71" w:rsidP="00C95855">
                        <w:pPr>
                          <w:pStyle w:val="Heading3"/>
                          <w:spacing w:after="0" w:line="240" w:lineRule="auto"/>
                          <w:rPr>
                            <w:rFonts w:eastAsia="Times New Roman"/>
                          </w:rPr>
                        </w:pPr>
                        <w:r>
                          <w:rPr>
                            <w:rFonts w:eastAsia="Times New Roman"/>
                          </w:rPr>
                          <w:t>SSP issued for Lipitor</w:t>
                        </w:r>
                        <w:r>
                          <w:rPr>
                            <w:rFonts w:eastAsia="Times New Roman"/>
                            <w:vertAlign w:val="superscript"/>
                          </w:rPr>
                          <w:t>®</w:t>
                        </w:r>
                        <w:r>
                          <w:rPr>
                            <w:rFonts w:eastAsia="Times New Roman"/>
                          </w:rPr>
                          <w:t xml:space="preserve"> 20mg chewable tablets</w:t>
                        </w:r>
                      </w:p>
                      <w:p w14:paraId="7C6DC31A" w14:textId="77777777" w:rsidR="00E91C71" w:rsidRDefault="00E91C71" w:rsidP="00C9585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A reminder that a Serious Shortage Protocol (SSP) has been issued for Lipitor® (atorvastatin) 20mg chewable tablets and community pharmacy teams should implement the SSP with immediate effect. SSP013 provides that for every Lipitor® 20mg chewable </w:t>
                        </w:r>
                        <w:r>
                          <w:rPr>
                            <w:rFonts w:ascii="Tahoma" w:hAnsi="Tahoma" w:cs="Tahoma"/>
                            <w:color w:val="303030"/>
                            <w:sz w:val="21"/>
                            <w:szCs w:val="21"/>
                          </w:rPr>
                          <w:lastRenderedPageBreak/>
                          <w:t>tablet originally prescribed, one Atorvastatin 20mg tablet must be supplied.</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further information, including PSNC guidance</w:t>
                          </w:r>
                        </w:hyperlink>
                      </w:p>
                      <w:p w14:paraId="19E2B5C2" w14:textId="77777777" w:rsidR="00E91C71" w:rsidRDefault="00E91C71" w:rsidP="00C95855">
                        <w:pPr>
                          <w:rPr>
                            <w:rFonts w:ascii="Tahoma" w:eastAsia="Times New Roman" w:hAnsi="Tahoma" w:cs="Tahoma"/>
                            <w:color w:val="303030"/>
                            <w:sz w:val="21"/>
                            <w:szCs w:val="21"/>
                          </w:rPr>
                        </w:pPr>
                        <w:r>
                          <w:rPr>
                            <w:rFonts w:ascii="Tahoma" w:eastAsia="Times New Roman" w:hAnsi="Tahoma" w:cs="Tahoma"/>
                            <w:color w:val="303030"/>
                            <w:sz w:val="21"/>
                            <w:szCs w:val="21"/>
                          </w:rPr>
                          <w:pict w14:anchorId="06FAFFDE">
                            <v:rect id="_x0000_i1036" style="width:468pt;height:1.5pt" o:hrstd="t" o:hr="t" fillcolor="#a0a0a0" stroked="f"/>
                          </w:pict>
                        </w:r>
                      </w:p>
                      <w:p w14:paraId="296389F3" w14:textId="77777777" w:rsidR="00E91C71" w:rsidRDefault="00E91C71" w:rsidP="00C95855">
                        <w:pPr>
                          <w:pStyle w:val="Heading3"/>
                          <w:spacing w:after="0" w:line="240" w:lineRule="auto"/>
                          <w:rPr>
                            <w:rFonts w:eastAsia="Times New Roman"/>
                          </w:rPr>
                        </w:pPr>
                        <w:r>
                          <w:rPr>
                            <w:rFonts w:eastAsia="Times New Roman"/>
                          </w:rPr>
                          <w:t>NHSE&amp;I online event: Health and wellbeing</w:t>
                        </w:r>
                      </w:p>
                      <w:p w14:paraId="6AB00B23" w14:textId="77777777" w:rsidR="00E91C71" w:rsidRDefault="00E91C71" w:rsidP="00C9585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NHS England and NHS Improvement (NHSE&amp;I) is inviting all community pharmacy colleagues to join an online event on </w:t>
                        </w:r>
                        <w:r>
                          <w:rPr>
                            <w:rStyle w:val="Strong"/>
                            <w:rFonts w:ascii="Tahoma" w:hAnsi="Tahoma" w:cs="Tahoma"/>
                            <w:color w:val="303030"/>
                            <w:sz w:val="21"/>
                            <w:szCs w:val="21"/>
                          </w:rPr>
                          <w:t>25th November at 12.00pm-1.30pm</w:t>
                        </w:r>
                        <w:r>
                          <w:rPr>
                            <w:rFonts w:ascii="Tahoma" w:hAnsi="Tahoma" w:cs="Tahoma"/>
                            <w:color w:val="303030"/>
                            <w:sz w:val="21"/>
                            <w:szCs w:val="21"/>
                          </w:rPr>
                          <w:t>. This event will be an opportunity to hear about the range of dedicated health and wellbeing support offers available to you, in recognition of the current pressures and upcoming winter pressures.</w:t>
                        </w:r>
                        <w:r>
                          <w:rPr>
                            <w:rFonts w:ascii="Tahoma" w:hAnsi="Tahoma" w:cs="Tahoma"/>
                            <w:color w:val="303030"/>
                            <w:sz w:val="21"/>
                            <w:szCs w:val="21"/>
                          </w:rPr>
                          <w:br/>
                        </w:r>
                        <w:r>
                          <w:rPr>
                            <w:rFonts w:ascii="Tahoma" w:hAnsi="Tahoma" w:cs="Tahoma"/>
                            <w:color w:val="303030"/>
                            <w:sz w:val="21"/>
                            <w:szCs w:val="21"/>
                          </w:rPr>
                          <w:br/>
                          <w:t>This online session will also offer delegates the opportunity to share their thoughts on how NHSE&amp;I can best support your health and wellbeing.</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Register for the NHSE&amp;I health and wellbeing event</w:t>
                          </w:r>
                        </w:hyperlink>
                      </w:p>
                    </w:tc>
                    <w:tc>
                      <w:tcPr>
                        <w:tcW w:w="150" w:type="dxa"/>
                        <w:vAlign w:val="center"/>
                        <w:hideMark/>
                      </w:tcPr>
                      <w:p w14:paraId="7EA83213" w14:textId="77777777" w:rsidR="00E91C71" w:rsidRDefault="00E91C71">
                        <w:pPr>
                          <w:rPr>
                            <w:rFonts w:ascii="Tahoma" w:hAnsi="Tahoma" w:cs="Tahoma"/>
                            <w:color w:val="303030"/>
                            <w:sz w:val="21"/>
                            <w:szCs w:val="21"/>
                          </w:rPr>
                        </w:pPr>
                      </w:p>
                    </w:tc>
                  </w:tr>
                  <w:tr w:rsidR="00E91C71" w14:paraId="3E329059" w14:textId="77777777">
                    <w:trPr>
                      <w:trHeight w:val="150"/>
                      <w:tblCellSpacing w:w="15" w:type="dxa"/>
                      <w:jc w:val="center"/>
                    </w:trPr>
                    <w:tc>
                      <w:tcPr>
                        <w:tcW w:w="150" w:type="dxa"/>
                        <w:vAlign w:val="center"/>
                        <w:hideMark/>
                      </w:tcPr>
                      <w:p w14:paraId="37834EA9" w14:textId="77777777" w:rsidR="00E91C71" w:rsidRDefault="00E91C71">
                        <w:pPr>
                          <w:rPr>
                            <w:rFonts w:ascii="Times New Roman" w:eastAsia="Times New Roman" w:hAnsi="Times New Roman" w:cs="Times New Roman"/>
                            <w:sz w:val="20"/>
                            <w:szCs w:val="20"/>
                          </w:rPr>
                        </w:pPr>
                      </w:p>
                    </w:tc>
                    <w:tc>
                      <w:tcPr>
                        <w:tcW w:w="8700" w:type="dxa"/>
                        <w:vAlign w:val="center"/>
                        <w:hideMark/>
                      </w:tcPr>
                      <w:p w14:paraId="436D8927" w14:textId="77777777" w:rsidR="00E91C71" w:rsidRDefault="00E91C71">
                        <w:pPr>
                          <w:rPr>
                            <w:rFonts w:ascii="Times New Roman" w:eastAsia="Times New Roman" w:hAnsi="Times New Roman" w:cs="Times New Roman"/>
                            <w:sz w:val="20"/>
                            <w:szCs w:val="20"/>
                          </w:rPr>
                        </w:pPr>
                      </w:p>
                    </w:tc>
                    <w:tc>
                      <w:tcPr>
                        <w:tcW w:w="150" w:type="dxa"/>
                        <w:vAlign w:val="center"/>
                        <w:hideMark/>
                      </w:tcPr>
                      <w:p w14:paraId="5C337C40" w14:textId="77777777" w:rsidR="00E91C71" w:rsidRDefault="00E91C71">
                        <w:pPr>
                          <w:rPr>
                            <w:rFonts w:ascii="Times New Roman" w:eastAsia="Times New Roman" w:hAnsi="Times New Roman" w:cs="Times New Roman"/>
                            <w:sz w:val="20"/>
                            <w:szCs w:val="20"/>
                          </w:rPr>
                        </w:pPr>
                      </w:p>
                    </w:tc>
                  </w:tr>
                </w:tbl>
                <w:p w14:paraId="34D86BCB" w14:textId="77777777" w:rsidR="00E91C71" w:rsidRDefault="00E91C71">
                  <w:pPr>
                    <w:jc w:val="center"/>
                    <w:rPr>
                      <w:rFonts w:ascii="Times New Roman" w:eastAsia="Times New Roman" w:hAnsi="Times New Roman" w:cs="Times New Roman"/>
                      <w:sz w:val="20"/>
                      <w:szCs w:val="20"/>
                    </w:rPr>
                  </w:pPr>
                </w:p>
              </w:tc>
            </w:tr>
          </w:tbl>
          <w:p w14:paraId="7C752928" w14:textId="77777777" w:rsidR="00E91C71" w:rsidRDefault="00E91C71">
            <w:pPr>
              <w:jc w:val="center"/>
              <w:rPr>
                <w:rFonts w:ascii="Times New Roman" w:eastAsia="Times New Roman" w:hAnsi="Times New Roman" w:cs="Times New Roman"/>
                <w:sz w:val="20"/>
                <w:szCs w:val="20"/>
              </w:rPr>
            </w:pPr>
          </w:p>
        </w:tc>
      </w:tr>
      <w:tr w:rsidR="00E91C71" w14:paraId="0389998F" w14:textId="77777777" w:rsidTr="00E91C7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91C71" w14:paraId="0AE00A2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91C71" w14:paraId="6A85B180" w14:textId="77777777">
                    <w:trPr>
                      <w:tblCellSpacing w:w="0" w:type="dxa"/>
                      <w:jc w:val="center"/>
                    </w:trPr>
                    <w:tc>
                      <w:tcPr>
                        <w:tcW w:w="3000" w:type="dxa"/>
                        <w:tcMar>
                          <w:top w:w="30" w:type="dxa"/>
                          <w:left w:w="75" w:type="dxa"/>
                          <w:bottom w:w="30" w:type="dxa"/>
                          <w:right w:w="75" w:type="dxa"/>
                        </w:tcMar>
                        <w:hideMark/>
                      </w:tcPr>
                      <w:p w14:paraId="1144B234" w14:textId="77777777" w:rsidR="00E91C71" w:rsidRDefault="00E91C71">
                        <w:pPr>
                          <w:pStyle w:val="Heading4"/>
                          <w:jc w:val="center"/>
                          <w:rPr>
                            <w:rFonts w:eastAsia="Times New Roman"/>
                          </w:rPr>
                        </w:pPr>
                        <w:r>
                          <w:rPr>
                            <w:rFonts w:eastAsia="Times New Roman"/>
                          </w:rPr>
                          <w:lastRenderedPageBreak/>
                          <w:t>Pharmaceutical Services Negotiating Committee</w:t>
                        </w:r>
                      </w:p>
                      <w:p w14:paraId="137520F4" w14:textId="40A02C9E" w:rsidR="00E91C71" w:rsidRDefault="00E91C7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63690EF" wp14:editId="484600F9">
                              <wp:extent cx="605790" cy="308610"/>
                              <wp:effectExtent l="0" t="0" r="3810" b="1524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662FDE2" wp14:editId="0633BD94">
                              <wp:extent cx="605790" cy="308610"/>
                              <wp:effectExtent l="0" t="0" r="3810" b="15240"/>
                              <wp:docPr id="4" name="Picture 4" descr="Graphical user interface&#10;&#10;Description automatically generated">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EB2B7DF" wp14:editId="328BF8F3">
                              <wp:extent cx="605790" cy="308610"/>
                              <wp:effectExtent l="0" t="0" r="3810" b="1524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944A7A7" wp14:editId="48192B51">
                              <wp:extent cx="605790" cy="308610"/>
                              <wp:effectExtent l="0" t="0" r="3810" b="1524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F7DDCA0" w14:textId="77777777" w:rsidR="00E91C71" w:rsidRDefault="00E91C7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91C71" w14:paraId="20C4CBE9" w14:textId="77777777" w:rsidTr="00C95855">
                    <w:trPr>
                      <w:trHeight w:val="59"/>
                      <w:tblCellSpacing w:w="0" w:type="dxa"/>
                      <w:jc w:val="center"/>
                    </w:trPr>
                    <w:tc>
                      <w:tcPr>
                        <w:tcW w:w="9000" w:type="dxa"/>
                        <w:tcMar>
                          <w:top w:w="150" w:type="dxa"/>
                          <w:left w:w="0" w:type="dxa"/>
                          <w:bottom w:w="0" w:type="dxa"/>
                          <w:right w:w="0" w:type="dxa"/>
                        </w:tcMar>
                        <w:vAlign w:val="center"/>
                        <w:hideMark/>
                      </w:tcPr>
                      <w:p w14:paraId="25F7715D" w14:textId="04683DB8" w:rsidR="00E91C71" w:rsidRDefault="00E91C71" w:rsidP="00C95855">
                        <w:pPr>
                          <w:rPr>
                            <w:rFonts w:ascii="Arial" w:eastAsia="Times New Roman" w:hAnsi="Arial" w:cs="Arial"/>
                            <w:color w:val="FFFFFF"/>
                            <w:sz w:val="17"/>
                            <w:szCs w:val="17"/>
                          </w:rPr>
                        </w:pPr>
                      </w:p>
                    </w:tc>
                  </w:tr>
                </w:tbl>
                <w:p w14:paraId="38CF7C4B" w14:textId="77777777" w:rsidR="00E91C71" w:rsidRDefault="00E91C71">
                  <w:pPr>
                    <w:jc w:val="center"/>
                    <w:rPr>
                      <w:rFonts w:ascii="Times New Roman" w:eastAsia="Times New Roman" w:hAnsi="Times New Roman" w:cs="Times New Roman"/>
                      <w:sz w:val="20"/>
                      <w:szCs w:val="20"/>
                    </w:rPr>
                  </w:pPr>
                </w:p>
              </w:tc>
            </w:tr>
          </w:tbl>
          <w:p w14:paraId="4FF19FBB" w14:textId="77777777" w:rsidR="00E91C71" w:rsidRDefault="00E91C71">
            <w:pPr>
              <w:jc w:val="center"/>
              <w:rPr>
                <w:rFonts w:ascii="Times New Roman" w:eastAsia="Times New Roman" w:hAnsi="Times New Roman" w:cs="Times New Roman"/>
                <w:sz w:val="20"/>
                <w:szCs w:val="20"/>
              </w:rPr>
            </w:pPr>
          </w:p>
        </w:tc>
      </w:tr>
    </w:tbl>
    <w:p w14:paraId="50D4C782" w14:textId="0E6A7A96" w:rsidR="00E91C71" w:rsidRDefault="00E91C71" w:rsidP="00E91C71">
      <w:pPr>
        <w:rPr>
          <w:rFonts w:eastAsia="Times New Roman"/>
        </w:rPr>
      </w:pPr>
      <w:r>
        <w:rPr>
          <w:rFonts w:eastAsia="Times New Roman"/>
          <w:noProof/>
        </w:rPr>
        <w:drawing>
          <wp:inline distT="0" distB="0" distL="0" distR="0" wp14:anchorId="79E069A3" wp14:editId="56C2E8D1">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21717E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71"/>
    <w:rsid w:val="00091ACA"/>
    <w:rsid w:val="00481DF6"/>
    <w:rsid w:val="00C95855"/>
    <w:rsid w:val="00DD1890"/>
    <w:rsid w:val="00E91C71"/>
    <w:rsid w:val="00EC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88F3"/>
  <w15:chartTrackingRefBased/>
  <w15:docId w15:val="{A618FCAE-8B02-4B3D-9199-BB6C08C4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71"/>
    <w:rPr>
      <w:rFonts w:ascii="Calibri" w:hAnsi="Calibri" w:cs="Calibri"/>
      <w:lang w:eastAsia="en-GB"/>
    </w:rPr>
  </w:style>
  <w:style w:type="paragraph" w:styleId="Heading1">
    <w:name w:val="heading 1"/>
    <w:basedOn w:val="Normal"/>
    <w:link w:val="Heading1Char"/>
    <w:uiPriority w:val="9"/>
    <w:qFormat/>
    <w:rsid w:val="00E91C7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91C7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91C7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91C7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C7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91C7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91C7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91C71"/>
    <w:rPr>
      <w:rFonts w:ascii="Tahoma" w:hAnsi="Tahoma" w:cs="Tahoma"/>
      <w:b/>
      <w:bCs/>
      <w:color w:val="FFFFFF"/>
      <w:sz w:val="18"/>
      <w:szCs w:val="18"/>
      <w:lang w:eastAsia="en-GB"/>
    </w:rPr>
  </w:style>
  <w:style w:type="paragraph" w:styleId="NormalWeb">
    <w:name w:val="Normal (Web)"/>
    <w:basedOn w:val="Normal"/>
    <w:uiPriority w:val="99"/>
    <w:semiHidden/>
    <w:unhideWhenUsed/>
    <w:rsid w:val="00E91C71"/>
    <w:pPr>
      <w:spacing w:before="100" w:beforeAutospacing="1" w:after="100" w:afterAutospacing="1"/>
    </w:pPr>
  </w:style>
  <w:style w:type="character" w:styleId="Strong">
    <w:name w:val="Strong"/>
    <w:basedOn w:val="DefaultParagraphFont"/>
    <w:uiPriority w:val="22"/>
    <w:qFormat/>
    <w:rsid w:val="00E91C71"/>
    <w:rPr>
      <w:b/>
      <w:bCs/>
    </w:rPr>
  </w:style>
  <w:style w:type="character" w:styleId="Hyperlink">
    <w:name w:val="Hyperlink"/>
    <w:basedOn w:val="DefaultParagraphFont"/>
    <w:uiPriority w:val="99"/>
    <w:semiHidden/>
    <w:unhideWhenUsed/>
    <w:rsid w:val="00E91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c99d4abba&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329a88b094&amp;e=d19e9fd41c" TargetMode="External"/><Relationship Id="rId26" Type="http://schemas.openxmlformats.org/officeDocument/2006/relationships/image" Target="https://psnc.us7.list-manage.com/track/open.php?u=86d41ab7fa4c7c2c5d7210782&amp;id=00d904b22b&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5024429e7&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740ec3a6c&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2a4187951&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53187bad5&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787a5f502e&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5e4a4956bb&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5</cp:revision>
  <dcterms:created xsi:type="dcterms:W3CDTF">2021-12-06T07:51:00Z</dcterms:created>
  <dcterms:modified xsi:type="dcterms:W3CDTF">2021-12-06T08:08:00Z</dcterms:modified>
</cp:coreProperties>
</file>