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45F9C" w14:paraId="0829F0F7" w14:textId="77777777" w:rsidTr="00245F9C">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245F9C" w14:paraId="1A237311"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245F9C" w14:paraId="1A4D658B" w14:textId="77777777">
                    <w:trPr>
                      <w:tblCellSpacing w:w="0" w:type="dxa"/>
                      <w:jc w:val="center"/>
                    </w:trPr>
                    <w:tc>
                      <w:tcPr>
                        <w:tcW w:w="3000" w:type="dxa"/>
                        <w:hideMark/>
                      </w:tcPr>
                      <w:p w14:paraId="009CCC11" w14:textId="7FB8B1C4" w:rsidR="00245F9C" w:rsidRDefault="0054398A">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263D5646" w14:textId="77777777" w:rsidR="00245F9C" w:rsidRDefault="00245F9C">
                  <w:pPr>
                    <w:jc w:val="center"/>
                    <w:rPr>
                      <w:rFonts w:ascii="Times New Roman" w:eastAsia="Times New Roman" w:hAnsi="Times New Roman" w:cs="Times New Roman"/>
                      <w:sz w:val="20"/>
                      <w:szCs w:val="20"/>
                    </w:rPr>
                  </w:pPr>
                </w:p>
              </w:tc>
            </w:tr>
            <w:tr w:rsidR="00245F9C" w14:paraId="3306A74C"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45F9C" w14:paraId="47C7096C"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33E3DDF7" w14:textId="2418037A" w:rsidR="00245F9C" w:rsidRDefault="00245F9C">
                        <w:pPr>
                          <w:jc w:val="center"/>
                          <w:rPr>
                            <w:rFonts w:eastAsia="Times New Roman"/>
                          </w:rPr>
                        </w:pPr>
                        <w:r>
                          <w:rPr>
                            <w:rFonts w:eastAsia="Times New Roman"/>
                            <w:noProof/>
                          </w:rPr>
                          <w:drawing>
                            <wp:inline distT="0" distB="0" distL="0" distR="0" wp14:anchorId="3698D02B" wp14:editId="4CB3AD9B">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245F9C" w14:paraId="72932D93" w14:textId="77777777">
                    <w:trPr>
                      <w:tblCellSpacing w:w="0" w:type="dxa"/>
                    </w:trPr>
                    <w:tc>
                      <w:tcPr>
                        <w:tcW w:w="0" w:type="auto"/>
                        <w:vMerge/>
                        <w:tcBorders>
                          <w:top w:val="nil"/>
                          <w:left w:val="nil"/>
                          <w:bottom w:val="single" w:sz="2" w:space="0" w:color="FFFFFF"/>
                          <w:right w:val="nil"/>
                        </w:tcBorders>
                        <w:vAlign w:val="center"/>
                        <w:hideMark/>
                      </w:tcPr>
                      <w:p w14:paraId="39C15305" w14:textId="77777777" w:rsidR="00245F9C" w:rsidRDefault="00245F9C">
                        <w:pPr>
                          <w:rPr>
                            <w:rFonts w:eastAsia="Times New Roman"/>
                          </w:rPr>
                        </w:pPr>
                      </w:p>
                    </w:tc>
                    <w:tc>
                      <w:tcPr>
                        <w:tcW w:w="3450" w:type="dxa"/>
                        <w:tcBorders>
                          <w:top w:val="nil"/>
                          <w:left w:val="nil"/>
                          <w:bottom w:val="nil"/>
                          <w:right w:val="nil"/>
                        </w:tcBorders>
                        <w:vAlign w:val="center"/>
                        <w:hideMark/>
                      </w:tcPr>
                      <w:p w14:paraId="489AB80A" w14:textId="77777777" w:rsidR="00245F9C" w:rsidRDefault="00245F9C">
                        <w:pPr>
                          <w:pStyle w:val="Heading1"/>
                          <w:rPr>
                            <w:rFonts w:eastAsia="Times New Roman"/>
                          </w:rPr>
                        </w:pPr>
                        <w:r>
                          <w:rPr>
                            <w:rFonts w:eastAsia="Times New Roman"/>
                          </w:rPr>
                          <w:t>News Alert</w:t>
                        </w:r>
                      </w:p>
                    </w:tc>
                  </w:tr>
                  <w:tr w:rsidR="00245F9C" w14:paraId="58F43029" w14:textId="77777777">
                    <w:trPr>
                      <w:tblCellSpacing w:w="0" w:type="dxa"/>
                    </w:trPr>
                    <w:tc>
                      <w:tcPr>
                        <w:tcW w:w="0" w:type="auto"/>
                        <w:vMerge/>
                        <w:tcBorders>
                          <w:top w:val="nil"/>
                          <w:left w:val="nil"/>
                          <w:bottom w:val="single" w:sz="2" w:space="0" w:color="FFFFFF"/>
                          <w:right w:val="nil"/>
                        </w:tcBorders>
                        <w:vAlign w:val="center"/>
                        <w:hideMark/>
                      </w:tcPr>
                      <w:p w14:paraId="1348475B" w14:textId="77777777" w:rsidR="00245F9C" w:rsidRDefault="00245F9C">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6E637B6" w14:textId="77777777" w:rsidR="00245F9C" w:rsidRDefault="00245F9C">
                        <w:pPr>
                          <w:pStyle w:val="Heading2"/>
                          <w:rPr>
                            <w:rFonts w:eastAsia="Times New Roman"/>
                            <w:color w:val="93378A"/>
                          </w:rPr>
                        </w:pPr>
                        <w:r>
                          <w:rPr>
                            <w:rFonts w:eastAsia="Times New Roman"/>
                            <w:color w:val="93378A"/>
                          </w:rPr>
                          <w:t>Friday 31st December 2021</w:t>
                        </w:r>
                      </w:p>
                    </w:tc>
                  </w:tr>
                </w:tbl>
                <w:p w14:paraId="2AE87614" w14:textId="77777777" w:rsidR="00245F9C" w:rsidRDefault="00245F9C">
                  <w:pPr>
                    <w:rPr>
                      <w:rFonts w:ascii="Times New Roman" w:eastAsia="Times New Roman" w:hAnsi="Times New Roman" w:cs="Times New Roman"/>
                      <w:sz w:val="20"/>
                      <w:szCs w:val="20"/>
                    </w:rPr>
                  </w:pPr>
                </w:p>
              </w:tc>
            </w:tr>
            <w:tr w:rsidR="00245F9C" w14:paraId="1B64F925" w14:textId="77777777">
              <w:tblPrEx>
                <w:shd w:val="clear" w:color="auto" w:fill="auto"/>
              </w:tblPrEx>
              <w:trPr>
                <w:tblCellSpacing w:w="0" w:type="dxa"/>
                <w:jc w:val="center"/>
              </w:trPr>
              <w:tc>
                <w:tcPr>
                  <w:tcW w:w="9000" w:type="dxa"/>
                  <w:hideMark/>
                </w:tcPr>
                <w:p w14:paraId="214CD3C5" w14:textId="30808147" w:rsidR="00245F9C" w:rsidRDefault="00245F9C">
                  <w:pPr>
                    <w:rPr>
                      <w:rFonts w:eastAsia="Times New Roman"/>
                    </w:rPr>
                  </w:pPr>
                  <w:r>
                    <w:rPr>
                      <w:rFonts w:eastAsia="Times New Roman"/>
                      <w:noProof/>
                    </w:rPr>
                    <w:drawing>
                      <wp:inline distT="0" distB="0" distL="0" distR="0" wp14:anchorId="1F76C00A" wp14:editId="016F93AA">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245F9C" w14:paraId="5B5BC241"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245F9C" w14:paraId="4F2D795E" w14:textId="77777777">
                    <w:trPr>
                      <w:trHeight w:val="75"/>
                      <w:tblCellSpacing w:w="15" w:type="dxa"/>
                      <w:jc w:val="center"/>
                    </w:trPr>
                    <w:tc>
                      <w:tcPr>
                        <w:tcW w:w="150" w:type="dxa"/>
                        <w:vAlign w:val="center"/>
                        <w:hideMark/>
                      </w:tcPr>
                      <w:p w14:paraId="0BB6CC59" w14:textId="77777777" w:rsidR="00245F9C" w:rsidRDefault="00245F9C">
                        <w:pPr>
                          <w:rPr>
                            <w:rFonts w:eastAsia="Times New Roman"/>
                          </w:rPr>
                        </w:pPr>
                      </w:p>
                    </w:tc>
                    <w:tc>
                      <w:tcPr>
                        <w:tcW w:w="8700" w:type="dxa"/>
                        <w:vAlign w:val="center"/>
                        <w:hideMark/>
                      </w:tcPr>
                      <w:p w14:paraId="7ECA25E1" w14:textId="77777777" w:rsidR="00245F9C" w:rsidRDefault="00245F9C">
                        <w:pPr>
                          <w:rPr>
                            <w:rFonts w:ascii="Times New Roman" w:eastAsia="Times New Roman" w:hAnsi="Times New Roman" w:cs="Times New Roman"/>
                            <w:sz w:val="20"/>
                            <w:szCs w:val="20"/>
                          </w:rPr>
                        </w:pPr>
                      </w:p>
                    </w:tc>
                    <w:tc>
                      <w:tcPr>
                        <w:tcW w:w="150" w:type="dxa"/>
                        <w:vAlign w:val="center"/>
                        <w:hideMark/>
                      </w:tcPr>
                      <w:p w14:paraId="2C1C27BE" w14:textId="77777777" w:rsidR="00245F9C" w:rsidRDefault="00245F9C">
                        <w:pPr>
                          <w:rPr>
                            <w:rFonts w:ascii="Times New Roman" w:eastAsia="Times New Roman" w:hAnsi="Times New Roman" w:cs="Times New Roman"/>
                            <w:sz w:val="20"/>
                            <w:szCs w:val="20"/>
                          </w:rPr>
                        </w:pPr>
                      </w:p>
                    </w:tc>
                  </w:tr>
                  <w:tr w:rsidR="00245F9C" w14:paraId="668980FB" w14:textId="77777777">
                    <w:trPr>
                      <w:tblCellSpacing w:w="15" w:type="dxa"/>
                      <w:jc w:val="center"/>
                    </w:trPr>
                    <w:tc>
                      <w:tcPr>
                        <w:tcW w:w="150" w:type="dxa"/>
                        <w:vAlign w:val="center"/>
                        <w:hideMark/>
                      </w:tcPr>
                      <w:p w14:paraId="1E95E0B8" w14:textId="77777777" w:rsidR="00245F9C" w:rsidRDefault="00245F9C">
                        <w:pPr>
                          <w:rPr>
                            <w:rFonts w:ascii="Times New Roman" w:eastAsia="Times New Roman" w:hAnsi="Times New Roman" w:cs="Times New Roman"/>
                            <w:sz w:val="20"/>
                            <w:szCs w:val="20"/>
                          </w:rPr>
                        </w:pPr>
                      </w:p>
                    </w:tc>
                    <w:tc>
                      <w:tcPr>
                        <w:tcW w:w="8700" w:type="dxa"/>
                        <w:hideMark/>
                      </w:tcPr>
                      <w:p w14:paraId="76DAB6F3" w14:textId="77777777" w:rsidR="00245F9C" w:rsidRDefault="00245F9C">
                        <w:pPr>
                          <w:pStyle w:val="Heading2"/>
                          <w:rPr>
                            <w:rFonts w:eastAsia="Times New Roman" w:cs="Arial"/>
                          </w:rPr>
                        </w:pPr>
                        <w:r>
                          <w:rPr>
                            <w:rFonts w:eastAsia="Times New Roman" w:cs="Arial"/>
                          </w:rPr>
                          <w:t>COVID Testing: Pharmacy Collect claims and access for pharmacy teams</w:t>
                        </w:r>
                      </w:p>
                    </w:tc>
                    <w:tc>
                      <w:tcPr>
                        <w:tcW w:w="150" w:type="dxa"/>
                        <w:vAlign w:val="center"/>
                        <w:hideMark/>
                      </w:tcPr>
                      <w:p w14:paraId="3FA98CC0" w14:textId="77777777" w:rsidR="00245F9C" w:rsidRDefault="00245F9C">
                        <w:pPr>
                          <w:rPr>
                            <w:rFonts w:eastAsia="Times New Roman" w:cs="Arial"/>
                          </w:rPr>
                        </w:pPr>
                      </w:p>
                    </w:tc>
                  </w:tr>
                  <w:tr w:rsidR="00245F9C" w14:paraId="6AE8888A" w14:textId="77777777">
                    <w:trPr>
                      <w:trHeight w:val="75"/>
                      <w:tblCellSpacing w:w="15" w:type="dxa"/>
                      <w:jc w:val="center"/>
                    </w:trPr>
                    <w:tc>
                      <w:tcPr>
                        <w:tcW w:w="150" w:type="dxa"/>
                        <w:vAlign w:val="center"/>
                        <w:hideMark/>
                      </w:tcPr>
                      <w:p w14:paraId="44261837" w14:textId="77777777" w:rsidR="00245F9C" w:rsidRDefault="00245F9C">
                        <w:pPr>
                          <w:rPr>
                            <w:rFonts w:ascii="Times New Roman" w:eastAsia="Times New Roman" w:hAnsi="Times New Roman" w:cs="Times New Roman"/>
                            <w:sz w:val="20"/>
                            <w:szCs w:val="20"/>
                          </w:rPr>
                        </w:pPr>
                      </w:p>
                    </w:tc>
                    <w:tc>
                      <w:tcPr>
                        <w:tcW w:w="8700" w:type="dxa"/>
                        <w:vAlign w:val="center"/>
                        <w:hideMark/>
                      </w:tcPr>
                      <w:p w14:paraId="047BD990" w14:textId="77777777" w:rsidR="00245F9C" w:rsidRDefault="00245F9C">
                        <w:pPr>
                          <w:rPr>
                            <w:rFonts w:ascii="Times New Roman" w:eastAsia="Times New Roman" w:hAnsi="Times New Roman" w:cs="Times New Roman"/>
                            <w:sz w:val="20"/>
                            <w:szCs w:val="20"/>
                          </w:rPr>
                        </w:pPr>
                      </w:p>
                    </w:tc>
                    <w:tc>
                      <w:tcPr>
                        <w:tcW w:w="150" w:type="dxa"/>
                        <w:vAlign w:val="center"/>
                        <w:hideMark/>
                      </w:tcPr>
                      <w:p w14:paraId="1E562C27" w14:textId="77777777" w:rsidR="00245F9C" w:rsidRDefault="00245F9C">
                        <w:pPr>
                          <w:rPr>
                            <w:rFonts w:ascii="Times New Roman" w:eastAsia="Times New Roman" w:hAnsi="Times New Roman" w:cs="Times New Roman"/>
                            <w:sz w:val="20"/>
                            <w:szCs w:val="20"/>
                          </w:rPr>
                        </w:pPr>
                      </w:p>
                    </w:tc>
                  </w:tr>
                  <w:tr w:rsidR="00245F9C" w14:paraId="61F83B7C" w14:textId="77777777">
                    <w:trPr>
                      <w:trHeight w:val="15"/>
                      <w:tblCellSpacing w:w="15" w:type="dxa"/>
                      <w:jc w:val="center"/>
                    </w:trPr>
                    <w:tc>
                      <w:tcPr>
                        <w:tcW w:w="150" w:type="dxa"/>
                        <w:shd w:val="clear" w:color="auto" w:fill="513389"/>
                        <w:vAlign w:val="center"/>
                        <w:hideMark/>
                      </w:tcPr>
                      <w:p w14:paraId="75CB150F" w14:textId="77777777" w:rsidR="00245F9C" w:rsidRDefault="00245F9C">
                        <w:pPr>
                          <w:rPr>
                            <w:rFonts w:ascii="Times New Roman" w:eastAsia="Times New Roman" w:hAnsi="Times New Roman" w:cs="Times New Roman"/>
                            <w:sz w:val="20"/>
                            <w:szCs w:val="20"/>
                          </w:rPr>
                        </w:pPr>
                      </w:p>
                    </w:tc>
                    <w:tc>
                      <w:tcPr>
                        <w:tcW w:w="8700" w:type="dxa"/>
                        <w:shd w:val="clear" w:color="auto" w:fill="513389"/>
                        <w:vAlign w:val="center"/>
                        <w:hideMark/>
                      </w:tcPr>
                      <w:p w14:paraId="0AF3D544" w14:textId="77777777" w:rsidR="00245F9C" w:rsidRDefault="00245F9C">
                        <w:pPr>
                          <w:rPr>
                            <w:rFonts w:ascii="Times New Roman" w:eastAsia="Times New Roman" w:hAnsi="Times New Roman" w:cs="Times New Roman"/>
                            <w:sz w:val="20"/>
                            <w:szCs w:val="20"/>
                          </w:rPr>
                        </w:pPr>
                      </w:p>
                    </w:tc>
                    <w:tc>
                      <w:tcPr>
                        <w:tcW w:w="150" w:type="dxa"/>
                        <w:shd w:val="clear" w:color="auto" w:fill="513389"/>
                        <w:vAlign w:val="center"/>
                        <w:hideMark/>
                      </w:tcPr>
                      <w:p w14:paraId="47494C12" w14:textId="77777777" w:rsidR="00245F9C" w:rsidRDefault="00245F9C">
                        <w:pPr>
                          <w:rPr>
                            <w:rFonts w:ascii="Times New Roman" w:eastAsia="Times New Roman" w:hAnsi="Times New Roman" w:cs="Times New Roman"/>
                            <w:sz w:val="20"/>
                            <w:szCs w:val="20"/>
                          </w:rPr>
                        </w:pPr>
                      </w:p>
                    </w:tc>
                  </w:tr>
                  <w:tr w:rsidR="00245F9C" w14:paraId="6302D3FB" w14:textId="77777777">
                    <w:trPr>
                      <w:trHeight w:val="150"/>
                      <w:tblCellSpacing w:w="15" w:type="dxa"/>
                      <w:jc w:val="center"/>
                    </w:trPr>
                    <w:tc>
                      <w:tcPr>
                        <w:tcW w:w="150" w:type="dxa"/>
                        <w:vAlign w:val="center"/>
                        <w:hideMark/>
                      </w:tcPr>
                      <w:p w14:paraId="0B0EE1F0" w14:textId="77777777" w:rsidR="00245F9C" w:rsidRDefault="00245F9C">
                        <w:pPr>
                          <w:rPr>
                            <w:rFonts w:ascii="Times New Roman" w:eastAsia="Times New Roman" w:hAnsi="Times New Roman" w:cs="Times New Roman"/>
                            <w:sz w:val="20"/>
                            <w:szCs w:val="20"/>
                          </w:rPr>
                        </w:pPr>
                      </w:p>
                    </w:tc>
                    <w:tc>
                      <w:tcPr>
                        <w:tcW w:w="8700" w:type="dxa"/>
                        <w:vAlign w:val="center"/>
                        <w:hideMark/>
                      </w:tcPr>
                      <w:p w14:paraId="54FE5827" w14:textId="77777777" w:rsidR="00245F9C" w:rsidRDefault="00245F9C">
                        <w:pPr>
                          <w:rPr>
                            <w:rFonts w:ascii="Times New Roman" w:eastAsia="Times New Roman" w:hAnsi="Times New Roman" w:cs="Times New Roman"/>
                            <w:sz w:val="20"/>
                            <w:szCs w:val="20"/>
                          </w:rPr>
                        </w:pPr>
                      </w:p>
                    </w:tc>
                    <w:tc>
                      <w:tcPr>
                        <w:tcW w:w="150" w:type="dxa"/>
                        <w:vAlign w:val="center"/>
                        <w:hideMark/>
                      </w:tcPr>
                      <w:p w14:paraId="3C88B133" w14:textId="77777777" w:rsidR="00245F9C" w:rsidRDefault="00245F9C">
                        <w:pPr>
                          <w:rPr>
                            <w:rFonts w:ascii="Times New Roman" w:eastAsia="Times New Roman" w:hAnsi="Times New Roman" w:cs="Times New Roman"/>
                            <w:sz w:val="20"/>
                            <w:szCs w:val="20"/>
                          </w:rPr>
                        </w:pPr>
                      </w:p>
                    </w:tc>
                  </w:tr>
                  <w:tr w:rsidR="00245F9C" w14:paraId="2F50FD0B" w14:textId="77777777">
                    <w:trPr>
                      <w:tblCellSpacing w:w="15" w:type="dxa"/>
                      <w:jc w:val="center"/>
                    </w:trPr>
                    <w:tc>
                      <w:tcPr>
                        <w:tcW w:w="150" w:type="dxa"/>
                        <w:vAlign w:val="center"/>
                        <w:hideMark/>
                      </w:tcPr>
                      <w:p w14:paraId="7E8B37F2" w14:textId="77777777" w:rsidR="00245F9C" w:rsidRDefault="00245F9C">
                        <w:pPr>
                          <w:rPr>
                            <w:rFonts w:ascii="Times New Roman" w:eastAsia="Times New Roman" w:hAnsi="Times New Roman" w:cs="Times New Roman"/>
                            <w:sz w:val="20"/>
                            <w:szCs w:val="20"/>
                          </w:rPr>
                        </w:pPr>
                      </w:p>
                    </w:tc>
                    <w:tc>
                      <w:tcPr>
                        <w:tcW w:w="8700" w:type="dxa"/>
                        <w:vAlign w:val="center"/>
                        <w:hideMark/>
                      </w:tcPr>
                      <w:p w14:paraId="3DEE311B" w14:textId="77777777" w:rsidR="00245F9C" w:rsidRDefault="00245F9C" w:rsidP="0054398A">
                        <w:pPr>
                          <w:pStyle w:val="Heading3"/>
                          <w:spacing w:after="0"/>
                          <w:rPr>
                            <w:rFonts w:eastAsia="Times New Roman"/>
                          </w:rPr>
                        </w:pPr>
                        <w:r>
                          <w:rPr>
                            <w:rFonts w:eastAsia="Times New Roman"/>
                          </w:rPr>
                          <w:t>Pharmacy Collect: December claims submission extended</w:t>
                        </w:r>
                      </w:p>
                      <w:p w14:paraId="75DEABC0" w14:textId="77777777" w:rsidR="00245F9C" w:rsidRDefault="00245F9C" w:rsidP="0054398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As high demand for Lateral Flow Device (LFD) test kits continues, community pharmacy contractors now have until the end of January 2022 to submit their December 2021 claims for the </w:t>
                        </w:r>
                        <w:hyperlink r:id="rId8" w:tgtFrame="_blank" w:history="1">
                          <w:r>
                            <w:rPr>
                              <w:rStyle w:val="Hyperlink"/>
                              <w:rFonts w:ascii="Tahoma" w:hAnsi="Tahoma" w:cs="Tahoma"/>
                              <w:b/>
                              <w:bCs/>
                              <w:color w:val="4E3487"/>
                              <w:sz w:val="21"/>
                              <w:szCs w:val="21"/>
                            </w:rPr>
                            <w:t>Pharmacy Collect service</w:t>
                          </w:r>
                        </w:hyperlink>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The UK Health Security Agency, Department of Health and Social Care, and NHS England and NHS Improvement have agreed to a request from PSNC for contractors to be granted an extension to the usual submission deadline on an exceptional basis. This is in recognition of the current level of demand for LFDs (and the consequent number of individual transactions which need to be recorded on the NHS Business Services Authority's (NHSBSA) Manage Your Service (MYS) portal) and the increased levels of activity for pharmacy teams at this time of year.</w:t>
                        </w:r>
                        <w:r>
                          <w:rPr>
                            <w:rFonts w:ascii="Tahoma" w:hAnsi="Tahoma" w:cs="Tahoma"/>
                            <w:color w:val="303030"/>
                            <w:sz w:val="21"/>
                            <w:szCs w:val="21"/>
                          </w:rPr>
                          <w:br/>
                        </w:r>
                        <w:r>
                          <w:rPr>
                            <w:rFonts w:ascii="Tahoma" w:hAnsi="Tahoma" w:cs="Tahoma"/>
                            <w:color w:val="303030"/>
                            <w:sz w:val="21"/>
                            <w:szCs w:val="21"/>
                          </w:rPr>
                          <w:br/>
                          <w:t xml:space="preserve">Contractors must submit claims for the provision of the Pharmacy Collect service during the month of December 2021 before </w:t>
                        </w:r>
                        <w:r>
                          <w:rPr>
                            <w:rStyle w:val="Strong"/>
                            <w:rFonts w:ascii="Tahoma" w:hAnsi="Tahoma" w:cs="Tahoma"/>
                            <w:color w:val="303030"/>
                            <w:sz w:val="21"/>
                            <w:szCs w:val="21"/>
                          </w:rPr>
                          <w:t>11.59pm on 31st January 2022</w:t>
                        </w:r>
                        <w:r>
                          <w:rPr>
                            <w:rFonts w:ascii="Tahoma" w:hAnsi="Tahoma" w:cs="Tahoma"/>
                            <w:color w:val="303030"/>
                            <w:sz w:val="21"/>
                            <w:szCs w:val="21"/>
                          </w:rPr>
                          <w:t>. The NHSBSA has confirmed that claims received by this time will still be processed alongside the rest of the December submission bundle and therefore will not lead to a delay in payment.</w:t>
                        </w:r>
                      </w:p>
                      <w:p w14:paraId="7A6FE7DF" w14:textId="77777777" w:rsidR="00245F9C" w:rsidRDefault="00245F9C" w:rsidP="0054398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9B1FEE0">
                            <v:rect id="_x0000_i1032" style="width:468pt;height:1.5pt" o:hrstd="t" o:hr="t" fillcolor="#a0a0a0" stroked="f"/>
                          </w:pict>
                        </w:r>
                      </w:p>
                      <w:p w14:paraId="321F516B" w14:textId="77777777" w:rsidR="00245F9C" w:rsidRDefault="00245F9C" w:rsidP="0054398A">
                        <w:pPr>
                          <w:pStyle w:val="Heading3"/>
                          <w:spacing w:after="0"/>
                          <w:rPr>
                            <w:rFonts w:eastAsia="Times New Roman"/>
                          </w:rPr>
                        </w:pPr>
                        <w:r>
                          <w:rPr>
                            <w:rFonts w:eastAsia="Times New Roman"/>
                          </w:rPr>
                          <w:t>Access to COVID testing for pharmacy staff</w:t>
                        </w:r>
                      </w:p>
                      <w:p w14:paraId="76835600" w14:textId="77777777" w:rsidR="00245F9C" w:rsidRDefault="00245F9C" w:rsidP="0054398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Amidst growing calls for key workers (including NHS staff) to be prioritised to receive COVID tests, NHS England and NHS Improvement (NHSE&amp;I) has advised primary care teams of how to escalate requests for testing needed for their staff.</w:t>
                        </w:r>
                        <w:r>
                          <w:rPr>
                            <w:rFonts w:ascii="Tahoma" w:hAnsi="Tahoma" w:cs="Tahoma"/>
                            <w:color w:val="303030"/>
                            <w:sz w:val="21"/>
                            <w:szCs w:val="21"/>
                          </w:rPr>
                          <w:br/>
                        </w:r>
                        <w:r>
                          <w:rPr>
                            <w:rFonts w:ascii="Tahoma" w:hAnsi="Tahoma" w:cs="Tahoma"/>
                            <w:color w:val="303030"/>
                            <w:sz w:val="21"/>
                            <w:szCs w:val="21"/>
                          </w:rPr>
                          <w:br/>
                          <w:t xml:space="preserve">In NHSE&amp;I's </w:t>
                        </w:r>
                        <w:hyperlink r:id="rId9" w:tgtFrame="_blank" w:history="1">
                          <w:r>
                            <w:rPr>
                              <w:rStyle w:val="Hyperlink"/>
                              <w:rFonts w:ascii="Tahoma" w:hAnsi="Tahoma" w:cs="Tahoma"/>
                              <w:b/>
                              <w:bCs/>
                              <w:color w:val="4E3487"/>
                              <w:sz w:val="21"/>
                              <w:szCs w:val="21"/>
                            </w:rPr>
                            <w:t>Primary Care Bulletin of 30th December 2021</w:t>
                          </w:r>
                        </w:hyperlink>
                        <w:r>
                          <w:rPr>
                            <w:rFonts w:ascii="Tahoma" w:hAnsi="Tahoma" w:cs="Tahoma"/>
                            <w:color w:val="303030"/>
                            <w:sz w:val="21"/>
                            <w:szCs w:val="21"/>
                          </w:rPr>
                          <w:t>, contractors were advised to get in touch with their regional NHSE&amp;I team who can put them in contact with the regional testing lead. Where PCR testing through normal routes is unavailable, regional testing leads may be able to help staff access alternative local testing.</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Contact details for NHSE&amp;I's local pharmacy teams</w:t>
                          </w:r>
                        </w:hyperlink>
                      </w:p>
                      <w:p w14:paraId="27873FED" w14:textId="77777777" w:rsidR="00245F9C" w:rsidRDefault="00245F9C" w:rsidP="0054398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C8B968B">
                            <v:rect id="_x0000_i1033" style="width:468pt;height:1.5pt" o:hrstd="t" o:hr="t" fillcolor="#a0a0a0" stroked="f"/>
                          </w:pict>
                        </w:r>
                      </w:p>
                      <w:p w14:paraId="0AAC3FBE" w14:textId="77777777" w:rsidR="00245F9C" w:rsidRDefault="00245F9C" w:rsidP="0054398A">
                        <w:pPr>
                          <w:pStyle w:val="Heading3"/>
                          <w:spacing w:after="0"/>
                          <w:rPr>
                            <w:rFonts w:eastAsia="Times New Roman"/>
                          </w:rPr>
                        </w:pPr>
                        <w:r>
                          <w:rPr>
                            <w:rFonts w:eastAsia="Times New Roman"/>
                          </w:rPr>
                          <w:t>UKHSA update on LFD stock</w:t>
                        </w:r>
                      </w:p>
                      <w:p w14:paraId="0D160AEF" w14:textId="77777777" w:rsidR="00245F9C" w:rsidRDefault="00245F9C" w:rsidP="0054398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As mentioned in yesterday's newsletter, PSNC has been in regular contact with the UK Health Security Agency about the supply issues in recent days and understands that they are continuing to deliver stock to Alliance Healthcare for onward delivery to pharmacies.</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Read the latest update on LFD stock</w:t>
                          </w:r>
                        </w:hyperlink>
                      </w:p>
                    </w:tc>
                    <w:tc>
                      <w:tcPr>
                        <w:tcW w:w="150" w:type="dxa"/>
                        <w:vAlign w:val="center"/>
                        <w:hideMark/>
                      </w:tcPr>
                      <w:p w14:paraId="21AE1B10" w14:textId="77777777" w:rsidR="00245F9C" w:rsidRDefault="00245F9C">
                        <w:pPr>
                          <w:rPr>
                            <w:rFonts w:ascii="Tahoma" w:hAnsi="Tahoma" w:cs="Tahoma"/>
                            <w:color w:val="303030"/>
                            <w:sz w:val="21"/>
                            <w:szCs w:val="21"/>
                          </w:rPr>
                        </w:pPr>
                      </w:p>
                    </w:tc>
                  </w:tr>
                  <w:tr w:rsidR="00245F9C" w14:paraId="1920C254" w14:textId="77777777">
                    <w:trPr>
                      <w:trHeight w:val="150"/>
                      <w:tblCellSpacing w:w="15" w:type="dxa"/>
                      <w:jc w:val="center"/>
                    </w:trPr>
                    <w:tc>
                      <w:tcPr>
                        <w:tcW w:w="150" w:type="dxa"/>
                        <w:vAlign w:val="center"/>
                        <w:hideMark/>
                      </w:tcPr>
                      <w:p w14:paraId="51086CBB" w14:textId="77777777" w:rsidR="00245F9C" w:rsidRDefault="00245F9C">
                        <w:pPr>
                          <w:rPr>
                            <w:rFonts w:ascii="Times New Roman" w:eastAsia="Times New Roman" w:hAnsi="Times New Roman" w:cs="Times New Roman"/>
                            <w:sz w:val="20"/>
                            <w:szCs w:val="20"/>
                          </w:rPr>
                        </w:pPr>
                      </w:p>
                    </w:tc>
                    <w:tc>
                      <w:tcPr>
                        <w:tcW w:w="8700" w:type="dxa"/>
                        <w:vAlign w:val="center"/>
                        <w:hideMark/>
                      </w:tcPr>
                      <w:p w14:paraId="4B4024B0" w14:textId="77777777" w:rsidR="00245F9C" w:rsidRDefault="00245F9C">
                        <w:pPr>
                          <w:rPr>
                            <w:rFonts w:ascii="Times New Roman" w:eastAsia="Times New Roman" w:hAnsi="Times New Roman" w:cs="Times New Roman"/>
                            <w:sz w:val="20"/>
                            <w:szCs w:val="20"/>
                          </w:rPr>
                        </w:pPr>
                      </w:p>
                    </w:tc>
                    <w:tc>
                      <w:tcPr>
                        <w:tcW w:w="150" w:type="dxa"/>
                        <w:vAlign w:val="center"/>
                        <w:hideMark/>
                      </w:tcPr>
                      <w:p w14:paraId="76CC5D35" w14:textId="77777777" w:rsidR="00245F9C" w:rsidRDefault="00245F9C">
                        <w:pPr>
                          <w:rPr>
                            <w:rFonts w:ascii="Times New Roman" w:eastAsia="Times New Roman" w:hAnsi="Times New Roman" w:cs="Times New Roman"/>
                            <w:sz w:val="20"/>
                            <w:szCs w:val="20"/>
                          </w:rPr>
                        </w:pPr>
                      </w:p>
                    </w:tc>
                  </w:tr>
                </w:tbl>
                <w:p w14:paraId="18CBBE99" w14:textId="77777777" w:rsidR="00245F9C" w:rsidRDefault="00245F9C">
                  <w:pPr>
                    <w:jc w:val="center"/>
                    <w:rPr>
                      <w:rFonts w:ascii="Times New Roman" w:eastAsia="Times New Roman" w:hAnsi="Times New Roman" w:cs="Times New Roman"/>
                      <w:sz w:val="20"/>
                      <w:szCs w:val="20"/>
                    </w:rPr>
                  </w:pPr>
                </w:p>
              </w:tc>
            </w:tr>
          </w:tbl>
          <w:p w14:paraId="6A382D2C" w14:textId="77777777" w:rsidR="00245F9C" w:rsidRDefault="00245F9C">
            <w:pPr>
              <w:jc w:val="center"/>
              <w:rPr>
                <w:rFonts w:ascii="Times New Roman" w:eastAsia="Times New Roman" w:hAnsi="Times New Roman" w:cs="Times New Roman"/>
                <w:sz w:val="20"/>
                <w:szCs w:val="20"/>
              </w:rPr>
            </w:pPr>
          </w:p>
        </w:tc>
      </w:tr>
      <w:tr w:rsidR="00245F9C" w14:paraId="1B465CEA" w14:textId="77777777" w:rsidTr="00245F9C">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245F9C" w14:paraId="548B01F5"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45F9C" w14:paraId="54BA00C7" w14:textId="77777777">
                    <w:trPr>
                      <w:tblCellSpacing w:w="0" w:type="dxa"/>
                      <w:jc w:val="center"/>
                    </w:trPr>
                    <w:tc>
                      <w:tcPr>
                        <w:tcW w:w="3000" w:type="dxa"/>
                        <w:tcMar>
                          <w:top w:w="30" w:type="dxa"/>
                          <w:left w:w="75" w:type="dxa"/>
                          <w:bottom w:w="30" w:type="dxa"/>
                          <w:right w:w="75" w:type="dxa"/>
                        </w:tcMar>
                        <w:hideMark/>
                      </w:tcPr>
                      <w:p w14:paraId="4C0DF07F" w14:textId="77777777" w:rsidR="00245F9C" w:rsidRDefault="00245F9C">
                        <w:pPr>
                          <w:pStyle w:val="Heading4"/>
                          <w:jc w:val="center"/>
                          <w:rPr>
                            <w:rFonts w:eastAsia="Times New Roman"/>
                          </w:rPr>
                        </w:pPr>
                        <w:r>
                          <w:rPr>
                            <w:rFonts w:eastAsia="Times New Roman"/>
                          </w:rPr>
                          <w:lastRenderedPageBreak/>
                          <w:t>Pharmaceutical Services Negotiating Committee</w:t>
                        </w:r>
                      </w:p>
                      <w:p w14:paraId="4DD01DE4" w14:textId="704DF905" w:rsidR="00245F9C" w:rsidRDefault="00245F9C">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021B0AB2" wp14:editId="4D3B202B">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2760AFB" wp14:editId="06880E3A">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590217D" wp14:editId="4E3162A9">
                              <wp:extent cx="609600" cy="304800"/>
                              <wp:effectExtent l="0" t="0" r="0" b="0"/>
                              <wp:docPr id="3" name="Picture 3" descr="Graphical user interface&#10;&#10;Description automatically generated">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18" tgtFrame="_blank"/>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561B53D" wp14:editId="57BA077F">
                              <wp:extent cx="609600" cy="304800"/>
                              <wp:effectExtent l="0" t="0" r="0" b="0"/>
                              <wp:docPr id="2" name="Picture 2" descr="Graphical user interface&#10;&#10;Description automatically generated">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1" tgtFrame="_blank"/>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441780EE" w14:textId="77777777" w:rsidR="00245F9C" w:rsidRDefault="00245F9C">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245F9C" w14:paraId="28945579" w14:textId="77777777" w:rsidTr="0054398A">
                    <w:trPr>
                      <w:trHeight w:val="20"/>
                      <w:tblCellSpacing w:w="0" w:type="dxa"/>
                      <w:jc w:val="center"/>
                    </w:trPr>
                    <w:tc>
                      <w:tcPr>
                        <w:tcW w:w="9000" w:type="dxa"/>
                        <w:tcMar>
                          <w:top w:w="150" w:type="dxa"/>
                          <w:left w:w="0" w:type="dxa"/>
                          <w:bottom w:w="0" w:type="dxa"/>
                          <w:right w:w="0" w:type="dxa"/>
                        </w:tcMar>
                        <w:vAlign w:val="center"/>
                        <w:hideMark/>
                      </w:tcPr>
                      <w:p w14:paraId="7EBCB5B8" w14:textId="14D3307C" w:rsidR="00245F9C" w:rsidRDefault="00245F9C" w:rsidP="0054398A">
                        <w:pPr>
                          <w:rPr>
                            <w:rFonts w:ascii="Arial" w:eastAsia="Times New Roman" w:hAnsi="Arial" w:cs="Arial"/>
                            <w:color w:val="FFFFFF"/>
                            <w:sz w:val="17"/>
                            <w:szCs w:val="17"/>
                          </w:rPr>
                        </w:pPr>
                      </w:p>
                    </w:tc>
                  </w:tr>
                </w:tbl>
                <w:p w14:paraId="5D9FBFB9" w14:textId="77777777" w:rsidR="00245F9C" w:rsidRDefault="00245F9C">
                  <w:pPr>
                    <w:jc w:val="center"/>
                    <w:rPr>
                      <w:rFonts w:ascii="Times New Roman" w:eastAsia="Times New Roman" w:hAnsi="Times New Roman" w:cs="Times New Roman"/>
                      <w:sz w:val="20"/>
                      <w:szCs w:val="20"/>
                    </w:rPr>
                  </w:pPr>
                </w:p>
              </w:tc>
            </w:tr>
          </w:tbl>
          <w:p w14:paraId="73D70777" w14:textId="77777777" w:rsidR="00245F9C" w:rsidRDefault="00245F9C">
            <w:pPr>
              <w:jc w:val="center"/>
              <w:rPr>
                <w:rFonts w:ascii="Times New Roman" w:eastAsia="Times New Roman" w:hAnsi="Times New Roman" w:cs="Times New Roman"/>
                <w:sz w:val="20"/>
                <w:szCs w:val="20"/>
              </w:rPr>
            </w:pPr>
          </w:p>
        </w:tc>
      </w:tr>
    </w:tbl>
    <w:p w14:paraId="75673A12" w14:textId="7F86BBF8" w:rsidR="00245F9C" w:rsidRDefault="00245F9C" w:rsidP="00245F9C">
      <w:pPr>
        <w:rPr>
          <w:rFonts w:eastAsia="Times New Roman"/>
        </w:rPr>
      </w:pPr>
      <w:r>
        <w:rPr>
          <w:rFonts w:eastAsia="Times New Roman"/>
          <w:noProof/>
        </w:rPr>
        <w:drawing>
          <wp:inline distT="0" distB="0" distL="0" distR="0" wp14:anchorId="7072D686" wp14:editId="188D4B1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B6E1DF5"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9C"/>
    <w:rsid w:val="00245F9C"/>
    <w:rsid w:val="0054398A"/>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CCE6"/>
  <w15:chartTrackingRefBased/>
  <w15:docId w15:val="{03292B2D-94E1-4878-A2D9-21FF7652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F9C"/>
    <w:rPr>
      <w:rFonts w:ascii="Calibri" w:hAnsi="Calibri" w:cs="Calibri"/>
      <w:lang w:eastAsia="en-GB"/>
    </w:rPr>
  </w:style>
  <w:style w:type="paragraph" w:styleId="Heading1">
    <w:name w:val="heading 1"/>
    <w:basedOn w:val="Normal"/>
    <w:link w:val="Heading1Char"/>
    <w:uiPriority w:val="9"/>
    <w:qFormat/>
    <w:rsid w:val="00245F9C"/>
    <w:pPr>
      <w:spacing w:after="75" w:line="264" w:lineRule="auto"/>
      <w:outlineLvl w:val="0"/>
    </w:pPr>
    <w:rPr>
      <w:rFonts w:ascii="Tahoma" w:hAnsi="Tahoma" w:cs="Tahoma"/>
      <w:b/>
      <w:bCs/>
      <w:color w:val="4E3487"/>
      <w:kern w:val="36"/>
      <w:sz w:val="63"/>
      <w:szCs w:val="63"/>
    </w:rPr>
  </w:style>
  <w:style w:type="paragraph" w:styleId="Heading2">
    <w:name w:val="heading 2"/>
    <w:basedOn w:val="Normal"/>
    <w:link w:val="Heading2Char"/>
    <w:uiPriority w:val="9"/>
    <w:semiHidden/>
    <w:unhideWhenUsed/>
    <w:qFormat/>
    <w:rsid w:val="00245F9C"/>
    <w:pPr>
      <w:spacing w:after="75" w:line="264" w:lineRule="auto"/>
      <w:outlineLvl w:val="1"/>
    </w:pPr>
    <w:rPr>
      <w:rFonts w:ascii="Lucida Sans" w:hAnsi="Lucida Sans"/>
      <w:b/>
      <w:bCs/>
      <w:color w:val="4E3487"/>
      <w:sz w:val="30"/>
      <w:szCs w:val="30"/>
    </w:rPr>
  </w:style>
  <w:style w:type="paragraph" w:styleId="Heading3">
    <w:name w:val="heading 3"/>
    <w:basedOn w:val="Normal"/>
    <w:link w:val="Heading3Char"/>
    <w:uiPriority w:val="9"/>
    <w:semiHidden/>
    <w:unhideWhenUsed/>
    <w:qFormat/>
    <w:rsid w:val="00245F9C"/>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245F9C"/>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F9C"/>
    <w:rPr>
      <w:rFonts w:ascii="Tahoma" w:hAnsi="Tahoma" w:cs="Tahoma"/>
      <w:b/>
      <w:bCs/>
      <w:color w:val="4E3487"/>
      <w:kern w:val="36"/>
      <w:sz w:val="63"/>
      <w:szCs w:val="63"/>
      <w:lang w:eastAsia="en-GB"/>
    </w:rPr>
  </w:style>
  <w:style w:type="character" w:customStyle="1" w:styleId="Heading2Char">
    <w:name w:val="Heading 2 Char"/>
    <w:basedOn w:val="DefaultParagraphFont"/>
    <w:link w:val="Heading2"/>
    <w:uiPriority w:val="9"/>
    <w:semiHidden/>
    <w:rsid w:val="00245F9C"/>
    <w:rPr>
      <w:rFonts w:ascii="Lucida Sans" w:hAnsi="Lucida Sans" w:cs="Calibri"/>
      <w:b/>
      <w:bCs/>
      <w:color w:val="4E3487"/>
      <w:sz w:val="30"/>
      <w:szCs w:val="30"/>
      <w:lang w:eastAsia="en-GB"/>
    </w:rPr>
  </w:style>
  <w:style w:type="character" w:customStyle="1" w:styleId="Heading3Char">
    <w:name w:val="Heading 3 Char"/>
    <w:basedOn w:val="DefaultParagraphFont"/>
    <w:link w:val="Heading3"/>
    <w:uiPriority w:val="9"/>
    <w:semiHidden/>
    <w:rsid w:val="00245F9C"/>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245F9C"/>
    <w:rPr>
      <w:rFonts w:ascii="Tahoma" w:hAnsi="Tahoma" w:cs="Tahoma"/>
      <w:b/>
      <w:bCs/>
      <w:color w:val="FFFFFF"/>
      <w:sz w:val="18"/>
      <w:szCs w:val="18"/>
      <w:lang w:eastAsia="en-GB"/>
    </w:rPr>
  </w:style>
  <w:style w:type="paragraph" w:styleId="NormalWeb">
    <w:name w:val="Normal (Web)"/>
    <w:basedOn w:val="Normal"/>
    <w:uiPriority w:val="99"/>
    <w:semiHidden/>
    <w:unhideWhenUsed/>
    <w:rsid w:val="00245F9C"/>
    <w:pPr>
      <w:spacing w:before="100" w:beforeAutospacing="1" w:after="100" w:afterAutospacing="1"/>
    </w:pPr>
  </w:style>
  <w:style w:type="character" w:styleId="Strong">
    <w:name w:val="Strong"/>
    <w:basedOn w:val="DefaultParagraphFont"/>
    <w:uiPriority w:val="22"/>
    <w:qFormat/>
    <w:rsid w:val="00245F9C"/>
    <w:rPr>
      <w:b/>
      <w:bCs/>
    </w:rPr>
  </w:style>
  <w:style w:type="character" w:styleId="Hyperlink">
    <w:name w:val="Hyperlink"/>
    <w:basedOn w:val="DefaultParagraphFont"/>
    <w:uiPriority w:val="99"/>
    <w:semiHidden/>
    <w:unhideWhenUsed/>
    <w:rsid w:val="00245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d359f7ff8f&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c34d40cd3a&amp;e=d19e9fd41c" TargetMode="External"/><Relationship Id="rId26" Type="http://schemas.openxmlformats.org/officeDocument/2006/relationships/image" Target="https://psnc.us7.list-manage.com/track/open.php?u=86d41ab7fa4c7c2c5d7210782&amp;id=3cf6edf0a9&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010bd78d43&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d750f6b34f&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3cde3ec12f&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10b8dfc998&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acfca2bb7c&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452eec5d00&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2022-01-04T08:41:00Z</dcterms:created>
  <dcterms:modified xsi:type="dcterms:W3CDTF">2022-01-04T08:43:00Z</dcterms:modified>
</cp:coreProperties>
</file>