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D312B" w14:paraId="1878BFBA" w14:textId="77777777" w:rsidTr="009D312B">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D312B" w14:paraId="48064EA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D312B" w14:paraId="0837577A" w14:textId="77777777">
                    <w:trPr>
                      <w:tblCellSpacing w:w="0" w:type="dxa"/>
                      <w:jc w:val="center"/>
                    </w:trPr>
                    <w:tc>
                      <w:tcPr>
                        <w:tcW w:w="3000" w:type="dxa"/>
                        <w:hideMark/>
                      </w:tcPr>
                      <w:p w14:paraId="669BF5F3" w14:textId="3FD29731" w:rsidR="009D312B" w:rsidRDefault="009D312B">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E23A1E3" w14:textId="77777777" w:rsidR="009D312B" w:rsidRDefault="009D312B">
                  <w:pPr>
                    <w:jc w:val="center"/>
                    <w:rPr>
                      <w:rFonts w:ascii="Times New Roman" w:eastAsia="Times New Roman" w:hAnsi="Times New Roman" w:cs="Times New Roman"/>
                      <w:sz w:val="20"/>
                      <w:szCs w:val="20"/>
                    </w:rPr>
                  </w:pPr>
                </w:p>
              </w:tc>
            </w:tr>
            <w:tr w:rsidR="009D312B" w14:paraId="4BF9B0FD"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D312B" w14:paraId="718B01D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CF0EB97" w14:textId="104260BB" w:rsidR="009D312B" w:rsidRDefault="009D312B">
                        <w:pPr>
                          <w:jc w:val="center"/>
                          <w:rPr>
                            <w:rFonts w:eastAsia="Times New Roman"/>
                          </w:rPr>
                        </w:pPr>
                        <w:r>
                          <w:rPr>
                            <w:rFonts w:eastAsia="Times New Roman"/>
                            <w:noProof/>
                          </w:rPr>
                          <w:drawing>
                            <wp:inline distT="0" distB="0" distL="0" distR="0" wp14:anchorId="2EC27A38" wp14:editId="52C2A50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D312B" w14:paraId="23BDC299" w14:textId="77777777">
                    <w:trPr>
                      <w:tblCellSpacing w:w="0" w:type="dxa"/>
                    </w:trPr>
                    <w:tc>
                      <w:tcPr>
                        <w:tcW w:w="0" w:type="auto"/>
                        <w:vMerge/>
                        <w:tcBorders>
                          <w:top w:val="nil"/>
                          <w:left w:val="nil"/>
                          <w:bottom w:val="single" w:sz="2" w:space="0" w:color="FFFFFF"/>
                          <w:right w:val="nil"/>
                        </w:tcBorders>
                        <w:vAlign w:val="center"/>
                        <w:hideMark/>
                      </w:tcPr>
                      <w:p w14:paraId="7CD30E17" w14:textId="77777777" w:rsidR="009D312B" w:rsidRDefault="009D312B">
                        <w:pPr>
                          <w:rPr>
                            <w:rFonts w:eastAsia="Times New Roman"/>
                          </w:rPr>
                        </w:pPr>
                      </w:p>
                    </w:tc>
                    <w:tc>
                      <w:tcPr>
                        <w:tcW w:w="3450" w:type="dxa"/>
                        <w:tcBorders>
                          <w:top w:val="nil"/>
                          <w:left w:val="nil"/>
                          <w:bottom w:val="nil"/>
                          <w:right w:val="nil"/>
                        </w:tcBorders>
                        <w:vAlign w:val="center"/>
                        <w:hideMark/>
                      </w:tcPr>
                      <w:p w14:paraId="47D078F9" w14:textId="77777777" w:rsidR="009D312B" w:rsidRDefault="009D312B">
                        <w:pPr>
                          <w:pStyle w:val="Heading1"/>
                          <w:rPr>
                            <w:rFonts w:eastAsia="Times New Roman"/>
                          </w:rPr>
                        </w:pPr>
                        <w:r>
                          <w:rPr>
                            <w:rFonts w:eastAsia="Times New Roman"/>
                          </w:rPr>
                          <w:t>PSNC Newsletter</w:t>
                        </w:r>
                      </w:p>
                    </w:tc>
                  </w:tr>
                  <w:tr w:rsidR="009D312B" w14:paraId="0A82A7E6" w14:textId="77777777">
                    <w:trPr>
                      <w:tblCellSpacing w:w="0" w:type="dxa"/>
                    </w:trPr>
                    <w:tc>
                      <w:tcPr>
                        <w:tcW w:w="0" w:type="auto"/>
                        <w:vMerge/>
                        <w:tcBorders>
                          <w:top w:val="nil"/>
                          <w:left w:val="nil"/>
                          <w:bottom w:val="single" w:sz="2" w:space="0" w:color="FFFFFF"/>
                          <w:right w:val="nil"/>
                        </w:tcBorders>
                        <w:vAlign w:val="center"/>
                        <w:hideMark/>
                      </w:tcPr>
                      <w:p w14:paraId="41DF2EC4" w14:textId="77777777" w:rsidR="009D312B" w:rsidRDefault="009D312B">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A11DE1C" w14:textId="77777777" w:rsidR="009D312B" w:rsidRDefault="009D312B">
                        <w:pPr>
                          <w:pStyle w:val="Heading2"/>
                          <w:rPr>
                            <w:rFonts w:eastAsia="Times New Roman"/>
                            <w:color w:val="93378A"/>
                          </w:rPr>
                        </w:pPr>
                        <w:r>
                          <w:rPr>
                            <w:rFonts w:eastAsia="Times New Roman"/>
                            <w:color w:val="93378A"/>
                          </w:rPr>
                          <w:t>Friday 28th January 2022</w:t>
                        </w:r>
                      </w:p>
                    </w:tc>
                  </w:tr>
                </w:tbl>
                <w:p w14:paraId="516FE038" w14:textId="77777777" w:rsidR="009D312B" w:rsidRDefault="009D312B">
                  <w:pPr>
                    <w:rPr>
                      <w:rFonts w:ascii="Times New Roman" w:eastAsia="Times New Roman" w:hAnsi="Times New Roman" w:cs="Times New Roman"/>
                      <w:sz w:val="20"/>
                      <w:szCs w:val="20"/>
                    </w:rPr>
                  </w:pPr>
                </w:p>
              </w:tc>
            </w:tr>
            <w:tr w:rsidR="009D312B" w14:paraId="55B54555" w14:textId="77777777">
              <w:tblPrEx>
                <w:shd w:val="clear" w:color="auto" w:fill="auto"/>
              </w:tblPrEx>
              <w:trPr>
                <w:tblCellSpacing w:w="0" w:type="dxa"/>
                <w:jc w:val="center"/>
              </w:trPr>
              <w:tc>
                <w:tcPr>
                  <w:tcW w:w="9000" w:type="dxa"/>
                  <w:hideMark/>
                </w:tcPr>
                <w:p w14:paraId="4507C249" w14:textId="34692D16" w:rsidR="009D312B" w:rsidRDefault="009D312B">
                  <w:pPr>
                    <w:rPr>
                      <w:rFonts w:eastAsia="Times New Roman"/>
                    </w:rPr>
                  </w:pPr>
                  <w:r>
                    <w:rPr>
                      <w:rFonts w:eastAsia="Times New Roman"/>
                      <w:noProof/>
                    </w:rPr>
                    <w:drawing>
                      <wp:inline distT="0" distB="0" distL="0" distR="0" wp14:anchorId="75D7719C" wp14:editId="21682BE8">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D312B" w14:paraId="0D77A12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9D312B" w14:paraId="377D119B" w14:textId="77777777">
                    <w:trPr>
                      <w:trHeight w:val="150"/>
                      <w:tblCellSpacing w:w="15" w:type="dxa"/>
                      <w:jc w:val="center"/>
                    </w:trPr>
                    <w:tc>
                      <w:tcPr>
                        <w:tcW w:w="150" w:type="dxa"/>
                        <w:vAlign w:val="center"/>
                        <w:hideMark/>
                      </w:tcPr>
                      <w:p w14:paraId="2631AD6A" w14:textId="77777777" w:rsidR="009D312B" w:rsidRDefault="009D312B">
                        <w:pPr>
                          <w:rPr>
                            <w:rFonts w:eastAsia="Times New Roman"/>
                          </w:rPr>
                        </w:pPr>
                      </w:p>
                    </w:tc>
                    <w:tc>
                      <w:tcPr>
                        <w:tcW w:w="8700" w:type="dxa"/>
                        <w:vAlign w:val="center"/>
                        <w:hideMark/>
                      </w:tcPr>
                      <w:p w14:paraId="5AD685AF" w14:textId="77777777" w:rsidR="009D312B" w:rsidRDefault="009D312B">
                        <w:pPr>
                          <w:rPr>
                            <w:rFonts w:ascii="Times New Roman" w:eastAsia="Times New Roman" w:hAnsi="Times New Roman" w:cs="Times New Roman"/>
                            <w:sz w:val="20"/>
                            <w:szCs w:val="20"/>
                          </w:rPr>
                        </w:pPr>
                      </w:p>
                    </w:tc>
                    <w:tc>
                      <w:tcPr>
                        <w:tcW w:w="150" w:type="dxa"/>
                        <w:vAlign w:val="center"/>
                        <w:hideMark/>
                      </w:tcPr>
                      <w:p w14:paraId="72D38408" w14:textId="77777777" w:rsidR="009D312B" w:rsidRDefault="009D312B">
                        <w:pPr>
                          <w:rPr>
                            <w:rFonts w:ascii="Times New Roman" w:eastAsia="Times New Roman" w:hAnsi="Times New Roman" w:cs="Times New Roman"/>
                            <w:sz w:val="20"/>
                            <w:szCs w:val="20"/>
                          </w:rPr>
                        </w:pPr>
                      </w:p>
                    </w:tc>
                  </w:tr>
                  <w:tr w:rsidR="009D312B" w14:paraId="73B31C4C" w14:textId="77777777">
                    <w:trPr>
                      <w:tblCellSpacing w:w="15" w:type="dxa"/>
                      <w:jc w:val="center"/>
                    </w:trPr>
                    <w:tc>
                      <w:tcPr>
                        <w:tcW w:w="150" w:type="dxa"/>
                        <w:vAlign w:val="center"/>
                        <w:hideMark/>
                      </w:tcPr>
                      <w:p w14:paraId="541933F6" w14:textId="77777777" w:rsidR="009D312B" w:rsidRDefault="009D312B">
                        <w:pPr>
                          <w:rPr>
                            <w:rFonts w:ascii="Times New Roman" w:eastAsia="Times New Roman" w:hAnsi="Times New Roman" w:cs="Times New Roman"/>
                            <w:sz w:val="20"/>
                            <w:szCs w:val="20"/>
                          </w:rPr>
                        </w:pPr>
                      </w:p>
                    </w:tc>
                    <w:tc>
                      <w:tcPr>
                        <w:tcW w:w="8700" w:type="dxa"/>
                        <w:vAlign w:val="center"/>
                        <w:hideMark/>
                      </w:tcPr>
                      <w:p w14:paraId="65EB373C"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BB2F4F5"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52E6182">
                            <v:rect id="_x0000_i1032" style="width:468pt;height:1.5pt" o:hrstd="t" o:hr="t" fillcolor="#a0a0a0" stroked="f"/>
                          </w:pict>
                        </w:r>
                      </w:p>
                      <w:p w14:paraId="6B6C0DA7" w14:textId="77777777" w:rsidR="009D312B" w:rsidRDefault="009D312B" w:rsidP="009D312B">
                        <w:pPr>
                          <w:pStyle w:val="Heading2"/>
                          <w:spacing w:after="0"/>
                          <w:rPr>
                            <w:rFonts w:eastAsia="Times New Roman"/>
                          </w:rPr>
                        </w:pPr>
                        <w:r>
                          <w:rPr>
                            <w:rFonts w:eastAsia="Times New Roman"/>
                          </w:rPr>
                          <w:t>In this update: Findings from the CPCF Annual Review; PQS declaration delay; funded IP training; emergency declaration extension; changes to SSP making claims.</w:t>
                        </w:r>
                      </w:p>
                      <w:p w14:paraId="2B54B7C8"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F5FB189">
                            <v:rect id="_x0000_i1033" style="width:468pt;height:1.5pt" o:hrstd="t" o:hr="t" fillcolor="#a0a0a0" stroked="f"/>
                          </w:pict>
                        </w:r>
                      </w:p>
                      <w:p w14:paraId="6C1B2DB9" w14:textId="77777777" w:rsidR="009D312B" w:rsidRDefault="009D312B" w:rsidP="009D312B">
                        <w:pPr>
                          <w:pStyle w:val="Heading3"/>
                          <w:spacing w:after="0"/>
                          <w:rPr>
                            <w:rFonts w:eastAsia="Times New Roman"/>
                          </w:rPr>
                        </w:pPr>
                        <w:r>
                          <w:rPr>
                            <w:rFonts w:eastAsia="Times New Roman"/>
                          </w:rPr>
                          <w:t>First Annual Review of CPCF paves way for year 4 negotiations</w:t>
                        </w:r>
                      </w:p>
                      <w:p w14:paraId="69B609A4"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first Annual Review of the progress of the five-year Community Pharmacy Contractual Framework (CPCF) deal has been concluded by PSNC, the Department of Health and Social Care (DHSC) and NHS England &amp; NHS Improvement (NHSE&amp;I). </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The review took place separately from, and too late to inform, the comprehensive bid for an uplift to CPCF funding which we had made in time for cross-government talks about the Spending Review. At its November planning meeting, PSNC agreed that more funding would need to be sought again this year, while recognising that the outcome of the Spending Review is likely to prevent any uplift to CPCF funding for the next two financial years. </w:t>
                        </w:r>
                      </w:p>
                      <w:p w14:paraId="4C1C772B" w14:textId="77777777" w:rsidR="009D312B" w:rsidRDefault="009D312B" w:rsidP="009D312B">
                        <w:pPr>
                          <w:pStyle w:val="NormalWeb"/>
                          <w:spacing w:before="0" w:beforeAutospacing="0" w:after="0" w:afterAutospacing="0" w:line="264" w:lineRule="auto"/>
                          <w:rPr>
                            <w:rFonts w:ascii="Tahoma" w:hAnsi="Tahoma" w:cs="Tahoma"/>
                            <w:color w:val="303030"/>
                            <w:sz w:val="21"/>
                            <w:szCs w:val="21"/>
                          </w:rPr>
                        </w:pPr>
                      </w:p>
                      <w:p w14:paraId="079CC71A" w14:textId="69240E43" w:rsidR="009D312B" w:rsidRDefault="009D312B" w:rsidP="009D312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All parties reviewed a significant amount of data and analysis during the course of the </w:t>
                        </w:r>
                        <w:proofErr w:type="gramStart"/>
                        <w:r>
                          <w:rPr>
                            <w:rFonts w:ascii="Tahoma" w:hAnsi="Tahoma" w:cs="Tahoma"/>
                            <w:color w:val="303030"/>
                            <w:sz w:val="21"/>
                            <w:szCs w:val="21"/>
                          </w:rPr>
                          <w:t>review</w:t>
                        </w:r>
                        <w:proofErr w:type="gramEnd"/>
                        <w:r>
                          <w:rPr>
                            <w:rFonts w:ascii="Tahoma" w:hAnsi="Tahoma" w:cs="Tahoma"/>
                            <w:color w:val="303030"/>
                            <w:sz w:val="21"/>
                            <w:szCs w:val="21"/>
                          </w:rPr>
                          <w:t xml:space="preserve"> and this allowed PSNC to demonstrate the scale of the cost and capacity challenges facing community pharmacies. Agreement eventually emerged around a number of key points including the progress made in transitioning pharmacy towards a service-based agenda, the huge efforts and commitment of pharmacy contractors and their teams, the need to remain focused on embedding the new pharmacy services, and more.</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Learn more about the Review</w:t>
                          </w:r>
                        </w:hyperlink>
                      </w:p>
                      <w:p w14:paraId="27440EDC" w14:textId="77777777" w:rsidR="009D312B" w:rsidRDefault="009D312B" w:rsidP="009D312B">
                        <w:pPr>
                          <w:pStyle w:val="NormalWeb"/>
                          <w:spacing w:before="0" w:beforeAutospacing="0" w:after="0" w:afterAutospacing="0" w:line="264" w:lineRule="auto"/>
                          <w:rPr>
                            <w:rFonts w:ascii="Tahoma" w:hAnsi="Tahoma" w:cs="Tahoma"/>
                            <w:color w:val="303030"/>
                            <w:sz w:val="21"/>
                            <w:szCs w:val="21"/>
                          </w:rPr>
                        </w:pPr>
                      </w:p>
                      <w:p w14:paraId="248EE0DA"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52AB188">
                            <v:rect id="_x0000_i1034" style="width:468pt;height:1.5pt" o:hrstd="t" o:hr="t" fillcolor="#a0a0a0" stroked="f"/>
                          </w:pict>
                        </w:r>
                      </w:p>
                      <w:p w14:paraId="1854CBB6" w14:textId="77777777" w:rsidR="009D312B" w:rsidRDefault="009D312B" w:rsidP="009D312B">
                        <w:pPr>
                          <w:pStyle w:val="Heading3"/>
                          <w:spacing w:after="0"/>
                          <w:rPr>
                            <w:rFonts w:eastAsia="Times New Roman"/>
                          </w:rPr>
                        </w:pPr>
                        <w:r>
                          <w:rPr>
                            <w:rFonts w:eastAsia="Times New Roman"/>
                          </w:rPr>
                          <w:t>PQS declaration: delay in opening of portal</w:t>
                        </w:r>
                      </w:p>
                      <w:p w14:paraId="58CEE5A8"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NHS Business Services Authority (NHSBSA) has announced that there will be a delay in opening the Manage Your Service (MYS) portal for the 2021/22 Pharmacy Quality Scheme (PQS) declarations. The declaration window will now open at 3pm on Thursday 3rd February 2022 and close on </w:t>
                        </w:r>
                        <w:r>
                          <w:rPr>
                            <w:rStyle w:val="Strong"/>
                            <w:rFonts w:ascii="Tahoma" w:eastAsia="Times New Roman" w:hAnsi="Tahoma" w:cs="Tahoma"/>
                            <w:color w:val="303030"/>
                            <w:sz w:val="21"/>
                            <w:szCs w:val="21"/>
                          </w:rPr>
                          <w:t>Wednesday 2nd March 2022 at 11:59pm</w:t>
                        </w:r>
                        <w:r>
                          <w:rPr>
                            <w:rFonts w:ascii="Tahoma" w:eastAsia="Times New Roman" w:hAnsi="Tahoma" w:cs="Tahoma"/>
                            <w:color w:val="303030"/>
                            <w:sz w:val="21"/>
                            <w:szCs w:val="21"/>
                          </w:rPr>
                          <w:t>.</w:t>
                        </w:r>
                        <w:r>
                          <w:rPr>
                            <w:rFonts w:ascii="Tahoma" w:eastAsia="Times New Roman" w:hAnsi="Tahoma" w:cs="Tahoma"/>
                            <w:color w:val="303030"/>
                            <w:sz w:val="21"/>
                            <w:szCs w:val="21"/>
                          </w:rPr>
                          <w:br/>
                        </w:r>
                      </w:p>
                      <w:p w14:paraId="0817C7A8" w14:textId="5AA721F7" w:rsidR="009D312B" w:rsidRDefault="009D312B" w:rsidP="009D312B">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2025868A" w14:textId="77777777" w:rsidR="009D312B" w:rsidRDefault="009D312B" w:rsidP="009D312B">
                        <w:pPr>
                          <w:spacing w:line="264" w:lineRule="auto"/>
                          <w:rPr>
                            <w:rFonts w:ascii="Tahoma" w:eastAsia="Times New Roman" w:hAnsi="Tahoma" w:cs="Tahoma"/>
                            <w:color w:val="303030"/>
                            <w:sz w:val="21"/>
                            <w:szCs w:val="21"/>
                          </w:rPr>
                        </w:pPr>
                      </w:p>
                      <w:p w14:paraId="135336E6" w14:textId="77777777" w:rsidR="009D312B" w:rsidRDefault="009D312B" w:rsidP="009D312B">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PQS Declaration questions published</w:t>
                        </w:r>
                        <w:r>
                          <w:rPr>
                            <w:rFonts w:ascii="Tahoma" w:hAnsi="Tahoma" w:cs="Tahoma"/>
                            <w:color w:val="303030"/>
                            <w:sz w:val="21"/>
                            <w:szCs w:val="21"/>
                          </w:rPr>
                          <w:br/>
                          <w:t xml:space="preserve">Meanwhile, the NHSBSA has published the questions that will be included in the 2021/22 PQS declaration so that community pharmacy contractors can view these ahead of making </w:t>
                        </w:r>
                        <w:r>
                          <w:rPr>
                            <w:rFonts w:ascii="Tahoma" w:hAnsi="Tahoma" w:cs="Tahoma"/>
                            <w:color w:val="303030"/>
                            <w:sz w:val="21"/>
                            <w:szCs w:val="21"/>
                          </w:rPr>
                          <w:lastRenderedPageBreak/>
                          <w:t>their declaration.</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View declaration questions</w:t>
                          </w:r>
                        </w:hyperlink>
                      </w:p>
                      <w:p w14:paraId="7A6DD83D"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1E9834C">
                            <v:rect id="_x0000_i1035" style="width:468pt;height:1.5pt" o:hrstd="t" o:hr="t" fillcolor="#a0a0a0" stroked="f"/>
                          </w:pict>
                        </w:r>
                      </w:p>
                      <w:p w14:paraId="630D8F53" w14:textId="77777777" w:rsidR="009D312B" w:rsidRDefault="009D312B" w:rsidP="009D312B">
                        <w:pPr>
                          <w:pStyle w:val="Heading3"/>
                          <w:spacing w:after="0"/>
                          <w:rPr>
                            <w:rFonts w:eastAsia="Times New Roman"/>
                          </w:rPr>
                        </w:pPr>
                        <w:r>
                          <w:rPr>
                            <w:rFonts w:eastAsia="Times New Roman"/>
                          </w:rPr>
                          <w:t>Funded IP training for community pharmacists</w:t>
                        </w:r>
                      </w:p>
                      <w:p w14:paraId="3D75BEC3"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Health Education England (HEE) has published details on their initial offer of funded Independent Prescribing (IP) courses for pharmacists. This offer will be suitable for community pharmacists who are already </w:t>
                        </w:r>
                        <w:proofErr w:type="gramStart"/>
                        <w:r>
                          <w:rPr>
                            <w:rFonts w:ascii="Tahoma" w:eastAsia="Times New Roman" w:hAnsi="Tahoma" w:cs="Tahoma"/>
                            <w:color w:val="303030"/>
                            <w:sz w:val="21"/>
                            <w:szCs w:val="21"/>
                          </w:rPr>
                          <w:t>in a position</w:t>
                        </w:r>
                        <w:proofErr w:type="gramEnd"/>
                        <w:r>
                          <w:rPr>
                            <w:rFonts w:ascii="Tahoma" w:eastAsia="Times New Roman" w:hAnsi="Tahoma" w:cs="Tahoma"/>
                            <w:color w:val="303030"/>
                            <w:sz w:val="21"/>
                            <w:szCs w:val="21"/>
                          </w:rPr>
                          <w:t xml:space="preserve"> to apply and meet the eligibility criteria and where applicable, have agreement from their employer to apply for this funding.</w:t>
                        </w:r>
                      </w:p>
                      <w:p w14:paraId="1A40440A" w14:textId="148495DB"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2E7EE1CA" w14:textId="77777777" w:rsidR="009D312B" w:rsidRDefault="009D312B" w:rsidP="009D312B">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Learn more about this training</w:t>
                          </w:r>
                        </w:hyperlink>
                      </w:p>
                      <w:p w14:paraId="54A8D806"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65EF318">
                            <v:rect id="_x0000_i1036" style="width:468pt;height:1.5pt" o:hrstd="t" o:hr="t" fillcolor="#a0a0a0" stroked="f"/>
                          </w:pict>
                        </w:r>
                      </w:p>
                      <w:p w14:paraId="6C744F9E" w14:textId="77777777" w:rsidR="009D312B" w:rsidRDefault="009D312B" w:rsidP="009D312B">
                        <w:pPr>
                          <w:pStyle w:val="Heading3"/>
                          <w:spacing w:after="0"/>
                          <w:rPr>
                            <w:rFonts w:eastAsia="Times New Roman"/>
                          </w:rPr>
                        </w:pPr>
                        <w:r>
                          <w:rPr>
                            <w:rFonts w:eastAsia="Times New Roman"/>
                          </w:rPr>
                          <w:t>Changes to making SSP claims</w:t>
                        </w:r>
                      </w:p>
                      <w:p w14:paraId="451F60C0"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DHSC has confirmed that only the ‘SSP’ endorsement and not</w:t>
                        </w:r>
                        <w:r>
                          <w:rPr>
                            <w:rStyle w:val="Strong"/>
                            <w:rFonts w:ascii="Tahoma" w:eastAsia="Times New Roman" w:hAnsi="Tahoma" w:cs="Tahoma"/>
                            <w:color w:val="303030"/>
                            <w:sz w:val="21"/>
                            <w:szCs w:val="21"/>
                          </w:rPr>
                          <w:t> </w:t>
                        </w:r>
                        <w:r>
                          <w:rPr>
                            <w:rFonts w:ascii="Tahoma" w:eastAsia="Times New Roman" w:hAnsi="Tahoma" w:cs="Tahoma"/>
                            <w:color w:val="303030"/>
                            <w:sz w:val="21"/>
                            <w:szCs w:val="21"/>
                          </w:rPr>
                          <w:t>the ‘NCSO’ endorsement</w:t>
                        </w:r>
                        <w:r>
                          <w:rPr>
                            <w:rStyle w:val="Strong"/>
                            <w:rFonts w:ascii="Tahoma" w:eastAsia="Times New Roman" w:hAnsi="Tahoma" w:cs="Tahoma"/>
                            <w:color w:val="303030"/>
                            <w:sz w:val="21"/>
                            <w:szCs w:val="21"/>
                          </w:rPr>
                          <w:t> </w:t>
                        </w:r>
                        <w:r>
                          <w:rPr>
                            <w:rFonts w:ascii="Tahoma" w:eastAsia="Times New Roman" w:hAnsi="Tahoma" w:cs="Tahoma"/>
                            <w:color w:val="303030"/>
                            <w:sz w:val="21"/>
                            <w:szCs w:val="21"/>
                          </w:rPr>
                          <w:t>or EPS</w:t>
                        </w:r>
                        <w:r>
                          <w:rPr>
                            <w:rStyle w:val="Strong"/>
                            <w:rFonts w:ascii="Tahoma" w:eastAsia="Times New Roman" w:hAnsi="Tahoma" w:cs="Tahoma"/>
                            <w:color w:val="303030"/>
                            <w:sz w:val="21"/>
                            <w:szCs w:val="21"/>
                          </w:rPr>
                          <w:t> </w:t>
                        </w:r>
                        <w:r>
                          <w:rPr>
                            <w:rFonts w:ascii="Tahoma" w:eastAsia="Times New Roman" w:hAnsi="Tahoma" w:cs="Tahoma"/>
                            <w:color w:val="303030"/>
                            <w:sz w:val="21"/>
                            <w:szCs w:val="21"/>
                          </w:rPr>
                          <w:t xml:space="preserve">tokens will be accepted on electronic prescriptions and paper FP10 prescription forms when claiming for supplies made in accordance with a valid Serious Shortage Protocol (SSP) from </w:t>
                        </w:r>
                        <w:r>
                          <w:rPr>
                            <w:rStyle w:val="Strong"/>
                            <w:rFonts w:ascii="Tahoma" w:eastAsia="Times New Roman" w:hAnsi="Tahoma" w:cs="Tahoma"/>
                            <w:color w:val="303030"/>
                            <w:sz w:val="21"/>
                            <w:szCs w:val="21"/>
                          </w:rPr>
                          <w:t>February 2022</w:t>
                        </w:r>
                        <w:r>
                          <w:rPr>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Find out more about this change</w:t>
                          </w:r>
                        </w:hyperlink>
                        <w:r>
                          <w:rPr>
                            <w:rFonts w:ascii="Tahoma" w:eastAsia="Times New Roman" w:hAnsi="Tahoma" w:cs="Tahoma"/>
                            <w:color w:val="303030"/>
                            <w:sz w:val="21"/>
                            <w:szCs w:val="21"/>
                          </w:rPr>
                          <w:t xml:space="preserve"> </w:t>
                        </w:r>
                      </w:p>
                      <w:p w14:paraId="5FCF856F"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3A0BC8F">
                            <v:rect id="_x0000_i1037" style="width:468pt;height:1.5pt" o:hrstd="t" o:hr="t" fillcolor="#a0a0a0" stroked="f"/>
                          </w:pict>
                        </w:r>
                      </w:p>
                      <w:p w14:paraId="373ECB71" w14:textId="77777777" w:rsidR="009D312B" w:rsidRDefault="009D312B" w:rsidP="009D312B">
                        <w:pPr>
                          <w:pStyle w:val="Heading3"/>
                          <w:spacing w:after="0"/>
                          <w:rPr>
                            <w:rFonts w:eastAsia="Times New Roman"/>
                          </w:rPr>
                        </w:pPr>
                        <w:r>
                          <w:rPr>
                            <w:rFonts w:eastAsia="Times New Roman"/>
                          </w:rPr>
                          <w:t>Secretary of State emergency declaration extension</w:t>
                        </w:r>
                      </w:p>
                      <w:p w14:paraId="7F0F78E7" w14:textId="46BACBA2"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declaration of an emergency requiring the flexible provision of pharmaceutical services which was introduced to help maintain pharmacy services during the COVID-19 outbreak, has been extended to 31st March 2022. </w:t>
                        </w:r>
                      </w:p>
                      <w:p w14:paraId="0722CF5C" w14:textId="77777777" w:rsidR="009D312B" w:rsidRDefault="009D312B" w:rsidP="009D312B">
                        <w:pPr>
                          <w:spacing w:line="264" w:lineRule="auto"/>
                          <w:rPr>
                            <w:rFonts w:ascii="Tahoma" w:eastAsia="Times New Roman" w:hAnsi="Tahoma" w:cs="Tahoma"/>
                            <w:color w:val="303030"/>
                            <w:sz w:val="21"/>
                            <w:szCs w:val="21"/>
                          </w:rPr>
                        </w:pPr>
                      </w:p>
                      <w:p w14:paraId="0F9E215E" w14:textId="77777777" w:rsidR="009D312B" w:rsidRDefault="009D312B" w:rsidP="009D312B">
                        <w:pPr>
                          <w:pStyle w:val="NormalWeb"/>
                          <w:spacing w:before="0" w:beforeAutospacing="0" w:after="0" w:afterAutospacing="0" w:line="264" w:lineRule="auto"/>
                          <w:rPr>
                            <w:rFonts w:ascii="Tahoma" w:hAnsi="Tahoma" w:cs="Tahoma"/>
                            <w:color w:val="303030"/>
                            <w:sz w:val="21"/>
                            <w:szCs w:val="21"/>
                          </w:rPr>
                        </w:pPr>
                        <w:hyperlink r:id="rId13" w:tgtFrame="_blank" w:history="1">
                          <w:r>
                            <w:rPr>
                              <w:rStyle w:val="Hyperlink"/>
                              <w:rFonts w:ascii="Tahoma" w:hAnsi="Tahoma" w:cs="Tahoma"/>
                              <w:b/>
                              <w:bCs/>
                              <w:color w:val="4E3487"/>
                              <w:sz w:val="21"/>
                              <w:szCs w:val="21"/>
                            </w:rPr>
                            <w:t>Find out more</w:t>
                          </w:r>
                        </w:hyperlink>
                      </w:p>
                      <w:p w14:paraId="4072D8E8" w14:textId="77777777" w:rsidR="009D312B" w:rsidRDefault="009D312B" w:rsidP="009D312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86E6F73">
                            <v:rect id="_x0000_i1038" style="width:468pt;height:1.5pt" o:hrstd="t" o:hr="t" fillcolor="#a0a0a0" stroked="f"/>
                          </w:pict>
                        </w:r>
                      </w:p>
                      <w:p w14:paraId="10F81A3F" w14:textId="77777777" w:rsidR="009D312B" w:rsidRDefault="009D312B" w:rsidP="009D312B">
                        <w:pPr>
                          <w:pStyle w:val="Heading3"/>
                          <w:spacing w:after="0"/>
                          <w:rPr>
                            <w:rFonts w:eastAsia="Times New Roman"/>
                          </w:rPr>
                        </w:pPr>
                        <w:r>
                          <w:rPr>
                            <w:rFonts w:eastAsia="Times New Roman"/>
                          </w:rPr>
                          <w:t>EPS tokens and NCSO endorsement no longer accepted for SSP claims</w:t>
                        </w:r>
                      </w:p>
                      <w:p w14:paraId="19138DD3" w14:textId="5D79B72A" w:rsidR="009D312B" w:rsidRDefault="009D312B" w:rsidP="009D312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Department of Health and Social Care (DHSC) has confirmed that from February 2022, only the ‘SSP’ endorsement will be accepted to claim for any supplies made in accordance with a valid Serious Shortage Protocol (SSP).</w:t>
                        </w:r>
                        <w:r>
                          <w:rPr>
                            <w:rFonts w:ascii="Tahoma" w:hAnsi="Tahoma" w:cs="Tahoma"/>
                            <w:color w:val="303030"/>
                            <w:sz w:val="21"/>
                            <w:szCs w:val="21"/>
                          </w:rPr>
                          <w:br/>
                        </w:r>
                        <w:r>
                          <w:rPr>
                            <w:rFonts w:ascii="Tahoma" w:hAnsi="Tahoma" w:cs="Tahoma"/>
                            <w:color w:val="303030"/>
                            <w:sz w:val="21"/>
                            <w:szCs w:val="21"/>
                          </w:rPr>
                          <w:br/>
                          <w:t>Instead, community pharmacy contractors should use the ‘SSP’ endorsement, introduced in June 2021, which uses the code</w:t>
                        </w:r>
                        <w:r>
                          <w:rPr>
                            <w:rStyle w:val="Strong"/>
                            <w:rFonts w:ascii="Tahoma" w:hAnsi="Tahoma" w:cs="Tahoma"/>
                            <w:color w:val="303030"/>
                            <w:sz w:val="21"/>
                            <w:szCs w:val="21"/>
                          </w:rPr>
                          <w:t> </w:t>
                        </w:r>
                        <w:r>
                          <w:rPr>
                            <w:rFonts w:ascii="Tahoma" w:hAnsi="Tahoma" w:cs="Tahoma"/>
                            <w:color w:val="303030"/>
                            <w:sz w:val="21"/>
                            <w:szCs w:val="21"/>
                          </w:rPr>
                          <w:t>‘SSP’ followed by the three-digit reference number applicable to the SSP. For example, SSP for Paracetamol 120mg suppositories would be endorsed as ‘SSP 015’.</w:t>
                        </w:r>
                      </w:p>
                      <w:p w14:paraId="2174AFAF" w14:textId="77777777" w:rsidR="009D312B" w:rsidRDefault="009D312B" w:rsidP="009D312B">
                        <w:pPr>
                          <w:pStyle w:val="NormalWeb"/>
                          <w:spacing w:before="0" w:beforeAutospacing="0" w:after="0" w:afterAutospacing="0" w:line="264" w:lineRule="auto"/>
                          <w:rPr>
                            <w:rFonts w:ascii="Tahoma" w:hAnsi="Tahoma" w:cs="Tahoma"/>
                            <w:color w:val="303030"/>
                            <w:sz w:val="21"/>
                            <w:szCs w:val="21"/>
                          </w:rPr>
                        </w:pPr>
                      </w:p>
                      <w:p w14:paraId="1E348E34" w14:textId="77777777" w:rsidR="009D312B" w:rsidRDefault="009D312B" w:rsidP="009D312B">
                        <w:pPr>
                          <w:spacing w:line="264" w:lineRule="auto"/>
                          <w:rPr>
                            <w:rFonts w:ascii="Tahoma" w:eastAsia="Times New Roman" w:hAnsi="Tahoma" w:cs="Tahoma"/>
                            <w:color w:val="303030"/>
                            <w:sz w:val="21"/>
                            <w:szCs w:val="21"/>
                          </w:rPr>
                        </w:pPr>
                        <w:hyperlink r:id="rId14" w:tgtFrame="_blank" w:history="1">
                          <w:r>
                            <w:rPr>
                              <w:rStyle w:val="Hyperlink"/>
                              <w:rFonts w:ascii="Tahoma" w:eastAsia="Times New Roman" w:hAnsi="Tahoma" w:cs="Tahoma"/>
                              <w:b/>
                              <w:bCs/>
                              <w:color w:val="4E3487"/>
                              <w:sz w:val="21"/>
                              <w:szCs w:val="21"/>
                            </w:rPr>
                            <w:t>Find out more about this change</w:t>
                          </w:r>
                        </w:hyperlink>
                      </w:p>
                    </w:tc>
                    <w:tc>
                      <w:tcPr>
                        <w:tcW w:w="150" w:type="dxa"/>
                        <w:vAlign w:val="center"/>
                        <w:hideMark/>
                      </w:tcPr>
                      <w:p w14:paraId="61401D5B" w14:textId="77777777" w:rsidR="009D312B" w:rsidRDefault="009D312B">
                        <w:pPr>
                          <w:rPr>
                            <w:rFonts w:ascii="Tahoma" w:eastAsia="Times New Roman" w:hAnsi="Tahoma" w:cs="Tahoma"/>
                            <w:color w:val="303030"/>
                            <w:sz w:val="21"/>
                            <w:szCs w:val="21"/>
                          </w:rPr>
                        </w:pPr>
                      </w:p>
                    </w:tc>
                  </w:tr>
                  <w:tr w:rsidR="009D312B" w14:paraId="08BD9EB2" w14:textId="77777777">
                    <w:trPr>
                      <w:trHeight w:val="150"/>
                      <w:tblCellSpacing w:w="15" w:type="dxa"/>
                      <w:jc w:val="center"/>
                    </w:trPr>
                    <w:tc>
                      <w:tcPr>
                        <w:tcW w:w="150" w:type="dxa"/>
                        <w:vAlign w:val="center"/>
                        <w:hideMark/>
                      </w:tcPr>
                      <w:p w14:paraId="3951938F" w14:textId="77777777" w:rsidR="009D312B" w:rsidRDefault="009D312B">
                        <w:pPr>
                          <w:rPr>
                            <w:rFonts w:ascii="Times New Roman" w:eastAsia="Times New Roman" w:hAnsi="Times New Roman" w:cs="Times New Roman"/>
                            <w:sz w:val="20"/>
                            <w:szCs w:val="20"/>
                          </w:rPr>
                        </w:pPr>
                      </w:p>
                    </w:tc>
                    <w:tc>
                      <w:tcPr>
                        <w:tcW w:w="8700" w:type="dxa"/>
                        <w:vAlign w:val="center"/>
                        <w:hideMark/>
                      </w:tcPr>
                      <w:p w14:paraId="0996A9D9" w14:textId="77777777" w:rsidR="009D312B" w:rsidRDefault="009D312B">
                        <w:pPr>
                          <w:rPr>
                            <w:rFonts w:ascii="Times New Roman" w:eastAsia="Times New Roman" w:hAnsi="Times New Roman" w:cs="Times New Roman"/>
                            <w:sz w:val="20"/>
                            <w:szCs w:val="20"/>
                          </w:rPr>
                        </w:pPr>
                      </w:p>
                    </w:tc>
                    <w:tc>
                      <w:tcPr>
                        <w:tcW w:w="150" w:type="dxa"/>
                        <w:vAlign w:val="center"/>
                        <w:hideMark/>
                      </w:tcPr>
                      <w:p w14:paraId="73FE9596" w14:textId="77777777" w:rsidR="009D312B" w:rsidRDefault="009D312B">
                        <w:pPr>
                          <w:rPr>
                            <w:rFonts w:ascii="Times New Roman" w:eastAsia="Times New Roman" w:hAnsi="Times New Roman" w:cs="Times New Roman"/>
                            <w:sz w:val="20"/>
                            <w:szCs w:val="20"/>
                          </w:rPr>
                        </w:pPr>
                      </w:p>
                    </w:tc>
                  </w:tr>
                </w:tbl>
                <w:p w14:paraId="6D7DC83C" w14:textId="77777777" w:rsidR="009D312B" w:rsidRDefault="009D312B">
                  <w:pPr>
                    <w:jc w:val="center"/>
                    <w:rPr>
                      <w:rFonts w:ascii="Times New Roman" w:eastAsia="Times New Roman" w:hAnsi="Times New Roman" w:cs="Times New Roman"/>
                      <w:sz w:val="20"/>
                      <w:szCs w:val="20"/>
                    </w:rPr>
                  </w:pPr>
                </w:p>
              </w:tc>
            </w:tr>
          </w:tbl>
          <w:p w14:paraId="416D483A" w14:textId="77777777" w:rsidR="009D312B" w:rsidRDefault="009D312B">
            <w:pPr>
              <w:jc w:val="center"/>
              <w:rPr>
                <w:rFonts w:ascii="Times New Roman" w:eastAsia="Times New Roman" w:hAnsi="Times New Roman" w:cs="Times New Roman"/>
                <w:sz w:val="20"/>
                <w:szCs w:val="20"/>
              </w:rPr>
            </w:pPr>
          </w:p>
        </w:tc>
      </w:tr>
      <w:tr w:rsidR="009D312B" w14:paraId="5EE2B558" w14:textId="77777777" w:rsidTr="009D312B">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D312B" w14:paraId="58F6607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D312B" w14:paraId="41E9FA05" w14:textId="77777777">
                    <w:trPr>
                      <w:tblCellSpacing w:w="0" w:type="dxa"/>
                      <w:jc w:val="center"/>
                    </w:trPr>
                    <w:tc>
                      <w:tcPr>
                        <w:tcW w:w="3000" w:type="dxa"/>
                        <w:tcMar>
                          <w:top w:w="30" w:type="dxa"/>
                          <w:left w:w="75" w:type="dxa"/>
                          <w:bottom w:w="30" w:type="dxa"/>
                          <w:right w:w="75" w:type="dxa"/>
                        </w:tcMar>
                        <w:hideMark/>
                      </w:tcPr>
                      <w:p w14:paraId="6B5FF033" w14:textId="77777777" w:rsidR="009D312B" w:rsidRDefault="009D312B">
                        <w:pPr>
                          <w:pStyle w:val="Heading4"/>
                          <w:jc w:val="center"/>
                          <w:rPr>
                            <w:rFonts w:eastAsia="Times New Roman"/>
                          </w:rPr>
                        </w:pPr>
                        <w:r>
                          <w:rPr>
                            <w:rFonts w:eastAsia="Times New Roman"/>
                          </w:rPr>
                          <w:lastRenderedPageBreak/>
                          <w:t>Pharmaceutical Services Negotiating Committee</w:t>
                        </w:r>
                      </w:p>
                      <w:p w14:paraId="5A8EC61E" w14:textId="6777DE95" w:rsidR="009D312B" w:rsidRDefault="009D312B">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FB65CC7" wp14:editId="2176D937">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2121B80" wp14:editId="6763B861">
                              <wp:extent cx="609600" cy="304800"/>
                              <wp:effectExtent l="0" t="0" r="0" b="0"/>
                              <wp:docPr id="4" name="Picture 4"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BB5FC34" wp14:editId="0D298D77">
                              <wp:extent cx="609600" cy="304800"/>
                              <wp:effectExtent l="0" t="0" r="0" b="0"/>
                              <wp:docPr id="3" name="Picture 3"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F9936B9" wp14:editId="3FCF17E0">
                              <wp:extent cx="609600" cy="304800"/>
                              <wp:effectExtent l="0" t="0" r="0" b="0"/>
                              <wp:docPr id="2" name="Picture 2" descr="Graphical user interface&#10;&#10;Description automatically generated">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4" tgtFrame="_blank"/>
                                      </pic:cNvP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25354D3" w14:textId="77777777" w:rsidR="009D312B" w:rsidRDefault="009D312B">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D312B" w14:paraId="76E32B69" w14:textId="77777777" w:rsidTr="009D312B">
                    <w:trPr>
                      <w:trHeight w:val="42"/>
                      <w:tblCellSpacing w:w="0" w:type="dxa"/>
                      <w:jc w:val="center"/>
                    </w:trPr>
                    <w:tc>
                      <w:tcPr>
                        <w:tcW w:w="9000" w:type="dxa"/>
                        <w:tcMar>
                          <w:top w:w="150" w:type="dxa"/>
                          <w:left w:w="0" w:type="dxa"/>
                          <w:bottom w:w="0" w:type="dxa"/>
                          <w:right w:w="0" w:type="dxa"/>
                        </w:tcMar>
                        <w:vAlign w:val="center"/>
                        <w:hideMark/>
                      </w:tcPr>
                      <w:p w14:paraId="482963B6" w14:textId="6B8441CC" w:rsidR="009D312B" w:rsidRDefault="009D312B" w:rsidP="009D312B">
                        <w:pPr>
                          <w:rPr>
                            <w:rFonts w:ascii="Arial" w:eastAsia="Times New Roman" w:hAnsi="Arial" w:cs="Arial"/>
                            <w:color w:val="FFFFFF"/>
                            <w:sz w:val="17"/>
                            <w:szCs w:val="17"/>
                          </w:rPr>
                        </w:pPr>
                        <w:r>
                          <w:rPr>
                            <w:rFonts w:ascii="Arial" w:eastAsia="Times New Roman" w:hAnsi="Arial" w:cs="Arial"/>
                            <w:color w:val="FFFFFF"/>
                            <w:sz w:val="17"/>
                            <w:szCs w:val="17"/>
                          </w:rPr>
                          <w:t xml:space="preserve"> </w:t>
                        </w:r>
                      </w:p>
                    </w:tc>
                  </w:tr>
                </w:tbl>
                <w:p w14:paraId="04054360" w14:textId="77777777" w:rsidR="009D312B" w:rsidRDefault="009D312B">
                  <w:pPr>
                    <w:jc w:val="center"/>
                    <w:rPr>
                      <w:rFonts w:ascii="Times New Roman" w:eastAsia="Times New Roman" w:hAnsi="Times New Roman" w:cs="Times New Roman"/>
                      <w:sz w:val="20"/>
                      <w:szCs w:val="20"/>
                    </w:rPr>
                  </w:pPr>
                </w:p>
              </w:tc>
            </w:tr>
          </w:tbl>
          <w:p w14:paraId="7EDF7D9C" w14:textId="77777777" w:rsidR="009D312B" w:rsidRDefault="009D312B">
            <w:pPr>
              <w:jc w:val="center"/>
              <w:rPr>
                <w:rFonts w:ascii="Times New Roman" w:eastAsia="Times New Roman" w:hAnsi="Times New Roman" w:cs="Times New Roman"/>
                <w:sz w:val="20"/>
                <w:szCs w:val="20"/>
              </w:rPr>
            </w:pPr>
          </w:p>
        </w:tc>
      </w:tr>
    </w:tbl>
    <w:p w14:paraId="3A53CB8F" w14:textId="218F57C8" w:rsidR="009D312B" w:rsidRDefault="009D312B" w:rsidP="009D312B">
      <w:pPr>
        <w:rPr>
          <w:rFonts w:eastAsia="Times New Roman"/>
        </w:rPr>
      </w:pPr>
      <w:r>
        <w:rPr>
          <w:rFonts w:eastAsia="Times New Roman"/>
          <w:noProof/>
        </w:rPr>
        <w:drawing>
          <wp:inline distT="0" distB="0" distL="0" distR="0" wp14:anchorId="43D53D42" wp14:editId="60FE946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08A5D5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2B"/>
    <w:rsid w:val="009D312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1D6E"/>
  <w15:chartTrackingRefBased/>
  <w15:docId w15:val="{5F6B8181-FF3B-48BF-BE7E-F097A155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12B"/>
    <w:rPr>
      <w:rFonts w:ascii="Calibri" w:hAnsi="Calibri" w:cs="Calibri"/>
      <w:lang w:eastAsia="en-GB"/>
    </w:rPr>
  </w:style>
  <w:style w:type="paragraph" w:styleId="Heading1">
    <w:name w:val="heading 1"/>
    <w:basedOn w:val="Normal"/>
    <w:link w:val="Heading1Char"/>
    <w:uiPriority w:val="9"/>
    <w:qFormat/>
    <w:rsid w:val="009D312B"/>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D312B"/>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9D312B"/>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9D312B"/>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12B"/>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D312B"/>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9D312B"/>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9D312B"/>
    <w:rPr>
      <w:rFonts w:ascii="Tahoma" w:hAnsi="Tahoma" w:cs="Tahoma"/>
      <w:b/>
      <w:bCs/>
      <w:color w:val="FFFFFF"/>
      <w:sz w:val="18"/>
      <w:szCs w:val="18"/>
      <w:lang w:eastAsia="en-GB"/>
    </w:rPr>
  </w:style>
  <w:style w:type="paragraph" w:styleId="NormalWeb">
    <w:name w:val="Normal (Web)"/>
    <w:basedOn w:val="Normal"/>
    <w:uiPriority w:val="99"/>
    <w:semiHidden/>
    <w:unhideWhenUsed/>
    <w:rsid w:val="009D312B"/>
    <w:pPr>
      <w:spacing w:before="100" w:beforeAutospacing="1" w:after="100" w:afterAutospacing="1"/>
    </w:pPr>
  </w:style>
  <w:style w:type="character" w:styleId="Strong">
    <w:name w:val="Strong"/>
    <w:basedOn w:val="DefaultParagraphFont"/>
    <w:uiPriority w:val="22"/>
    <w:qFormat/>
    <w:rsid w:val="009D312B"/>
    <w:rPr>
      <w:b/>
      <w:bCs/>
    </w:rPr>
  </w:style>
  <w:style w:type="character" w:styleId="Hyperlink">
    <w:name w:val="Hyperlink"/>
    <w:basedOn w:val="DefaultParagraphFont"/>
    <w:uiPriority w:val="99"/>
    <w:semiHidden/>
    <w:unhideWhenUsed/>
    <w:rsid w:val="009D3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d01e361821&amp;e=d19e9fd41c" TargetMode="External"/><Relationship Id="rId13" Type="http://schemas.openxmlformats.org/officeDocument/2006/relationships/hyperlink" Target="https://psnc.us7.list-manage.com/track/click?u=86d41ab7fa4c7c2c5d7210782&amp;id=bdcfa7425a&amp;e=d19e9fd41c" TargetMode="External"/><Relationship Id="rId18" Type="http://schemas.openxmlformats.org/officeDocument/2006/relationships/hyperlink" Target="https://psnc.us7.list-manage.com/track/click?u=86d41ab7fa4c7c2c5d7210782&amp;id=160398a9c1&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ffc418bcba&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30910842a&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6a11904d36&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4c7f561df&amp;e=d19e9fd41c" TargetMode="External"/><Relationship Id="rId24" Type="http://schemas.openxmlformats.org/officeDocument/2006/relationships/hyperlink" Target="https://psnc.us7.list-manage.com/track/click?u=86d41ab7fa4c7c2c5d7210782&amp;id=3641b259b5&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4aeec6b751&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97f7714deb&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17e908893d&amp;e=d19e9fd41c" TargetMode="External"/><Relationship Id="rId14" Type="http://schemas.openxmlformats.org/officeDocument/2006/relationships/hyperlink" Target="https://psnc.us7.list-manage.com/track/click?u=86d41ab7fa4c7c2c5d7210782&amp;id=e98c735116&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2022-01-31T16:53:00Z</dcterms:created>
  <dcterms:modified xsi:type="dcterms:W3CDTF">2022-01-31T16:55:00Z</dcterms:modified>
</cp:coreProperties>
</file>