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42D56" w14:paraId="0624B47A" w14:textId="77777777" w:rsidTr="00242D5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42D56" w14:paraId="5785E0C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42D56" w14:paraId="26407104" w14:textId="77777777">
                    <w:trPr>
                      <w:tblCellSpacing w:w="0" w:type="dxa"/>
                      <w:jc w:val="center"/>
                    </w:trPr>
                    <w:tc>
                      <w:tcPr>
                        <w:tcW w:w="3000" w:type="dxa"/>
                        <w:hideMark/>
                      </w:tcPr>
                      <w:p w14:paraId="3BAE3BFF" w14:textId="2EA7F3F0" w:rsidR="00242D56" w:rsidRDefault="00242D5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13C75F5" w14:textId="77777777" w:rsidR="00242D56" w:rsidRDefault="00242D56">
                  <w:pPr>
                    <w:jc w:val="center"/>
                    <w:rPr>
                      <w:rFonts w:ascii="Times New Roman" w:eastAsia="Times New Roman" w:hAnsi="Times New Roman" w:cs="Times New Roman"/>
                      <w:sz w:val="20"/>
                      <w:szCs w:val="20"/>
                    </w:rPr>
                  </w:pPr>
                </w:p>
              </w:tc>
            </w:tr>
            <w:tr w:rsidR="00242D56" w14:paraId="6069CDA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42D56" w14:paraId="2E832002"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6B441915" w14:textId="22528846" w:rsidR="00242D56" w:rsidRDefault="00242D56">
                        <w:pPr>
                          <w:jc w:val="center"/>
                          <w:rPr>
                            <w:rFonts w:eastAsia="Times New Roman"/>
                          </w:rPr>
                        </w:pPr>
                        <w:r>
                          <w:rPr>
                            <w:rFonts w:eastAsia="Times New Roman"/>
                            <w:noProof/>
                          </w:rPr>
                          <w:drawing>
                            <wp:inline distT="0" distB="0" distL="0" distR="0" wp14:anchorId="7D31E4A3" wp14:editId="19D52E0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42D56" w14:paraId="0FD10B10" w14:textId="77777777">
                    <w:trPr>
                      <w:tblCellSpacing w:w="0" w:type="dxa"/>
                    </w:trPr>
                    <w:tc>
                      <w:tcPr>
                        <w:tcW w:w="0" w:type="auto"/>
                        <w:vMerge/>
                        <w:tcBorders>
                          <w:top w:val="nil"/>
                          <w:left w:val="nil"/>
                          <w:bottom w:val="single" w:sz="2" w:space="0" w:color="FFFFFF"/>
                          <w:right w:val="nil"/>
                        </w:tcBorders>
                        <w:vAlign w:val="center"/>
                        <w:hideMark/>
                      </w:tcPr>
                      <w:p w14:paraId="776FBD6C" w14:textId="77777777" w:rsidR="00242D56" w:rsidRDefault="00242D56">
                        <w:pPr>
                          <w:rPr>
                            <w:rFonts w:eastAsia="Times New Roman"/>
                          </w:rPr>
                        </w:pPr>
                      </w:p>
                    </w:tc>
                    <w:tc>
                      <w:tcPr>
                        <w:tcW w:w="3450" w:type="dxa"/>
                        <w:tcBorders>
                          <w:top w:val="nil"/>
                          <w:left w:val="nil"/>
                          <w:bottom w:val="nil"/>
                          <w:right w:val="nil"/>
                        </w:tcBorders>
                        <w:vAlign w:val="center"/>
                        <w:hideMark/>
                      </w:tcPr>
                      <w:p w14:paraId="14C2CA21" w14:textId="77777777" w:rsidR="00242D56" w:rsidRDefault="00242D56">
                        <w:pPr>
                          <w:pStyle w:val="Heading1"/>
                          <w:rPr>
                            <w:rFonts w:eastAsia="Times New Roman"/>
                          </w:rPr>
                        </w:pPr>
                        <w:r>
                          <w:rPr>
                            <w:rFonts w:eastAsia="Times New Roman"/>
                          </w:rPr>
                          <w:t>PSNC Newsletter</w:t>
                        </w:r>
                      </w:p>
                    </w:tc>
                  </w:tr>
                  <w:tr w:rsidR="00242D56" w14:paraId="4C7B62A8" w14:textId="77777777">
                    <w:trPr>
                      <w:tblCellSpacing w:w="0" w:type="dxa"/>
                    </w:trPr>
                    <w:tc>
                      <w:tcPr>
                        <w:tcW w:w="0" w:type="auto"/>
                        <w:vMerge/>
                        <w:tcBorders>
                          <w:top w:val="nil"/>
                          <w:left w:val="nil"/>
                          <w:bottom w:val="single" w:sz="2" w:space="0" w:color="FFFFFF"/>
                          <w:right w:val="nil"/>
                        </w:tcBorders>
                        <w:vAlign w:val="center"/>
                        <w:hideMark/>
                      </w:tcPr>
                      <w:p w14:paraId="61A22BB1" w14:textId="77777777" w:rsidR="00242D56" w:rsidRDefault="00242D5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5731F10" w14:textId="77777777" w:rsidR="00242D56" w:rsidRDefault="00242D56">
                        <w:pPr>
                          <w:pStyle w:val="Heading2"/>
                          <w:rPr>
                            <w:rFonts w:eastAsia="Times New Roman"/>
                            <w:color w:val="93378A"/>
                          </w:rPr>
                        </w:pPr>
                        <w:r>
                          <w:rPr>
                            <w:rFonts w:eastAsia="Times New Roman"/>
                            <w:color w:val="93378A"/>
                          </w:rPr>
                          <w:t>Monday 31st January 2022</w:t>
                        </w:r>
                      </w:p>
                    </w:tc>
                  </w:tr>
                </w:tbl>
                <w:p w14:paraId="3484A990" w14:textId="77777777" w:rsidR="00242D56" w:rsidRDefault="00242D56">
                  <w:pPr>
                    <w:rPr>
                      <w:rFonts w:ascii="Times New Roman" w:eastAsia="Times New Roman" w:hAnsi="Times New Roman" w:cs="Times New Roman"/>
                      <w:sz w:val="20"/>
                      <w:szCs w:val="20"/>
                    </w:rPr>
                  </w:pPr>
                </w:p>
              </w:tc>
            </w:tr>
            <w:tr w:rsidR="00242D56" w14:paraId="04D3EF7B" w14:textId="77777777">
              <w:tblPrEx>
                <w:shd w:val="clear" w:color="auto" w:fill="auto"/>
              </w:tblPrEx>
              <w:trPr>
                <w:tblCellSpacing w:w="0" w:type="dxa"/>
                <w:jc w:val="center"/>
              </w:trPr>
              <w:tc>
                <w:tcPr>
                  <w:tcW w:w="9000" w:type="dxa"/>
                  <w:hideMark/>
                </w:tcPr>
                <w:p w14:paraId="56047A48" w14:textId="0D63A610" w:rsidR="00242D56" w:rsidRDefault="00242D56">
                  <w:pPr>
                    <w:rPr>
                      <w:rFonts w:eastAsia="Times New Roman"/>
                    </w:rPr>
                  </w:pPr>
                  <w:r>
                    <w:rPr>
                      <w:rFonts w:eastAsia="Times New Roman"/>
                      <w:noProof/>
                    </w:rPr>
                    <w:drawing>
                      <wp:inline distT="0" distB="0" distL="0" distR="0" wp14:anchorId="7E1D33A0" wp14:editId="3FDC9C4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42D56" w14:paraId="5597A53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242D56" w14:paraId="40108BC7" w14:textId="77777777">
                    <w:trPr>
                      <w:trHeight w:val="150"/>
                      <w:tblCellSpacing w:w="15" w:type="dxa"/>
                      <w:jc w:val="center"/>
                    </w:trPr>
                    <w:tc>
                      <w:tcPr>
                        <w:tcW w:w="150" w:type="dxa"/>
                        <w:vAlign w:val="center"/>
                        <w:hideMark/>
                      </w:tcPr>
                      <w:p w14:paraId="5196F48F" w14:textId="77777777" w:rsidR="00242D56" w:rsidRDefault="00242D56">
                        <w:pPr>
                          <w:rPr>
                            <w:rFonts w:eastAsia="Times New Roman"/>
                          </w:rPr>
                        </w:pPr>
                      </w:p>
                    </w:tc>
                    <w:tc>
                      <w:tcPr>
                        <w:tcW w:w="8700" w:type="dxa"/>
                        <w:vAlign w:val="center"/>
                        <w:hideMark/>
                      </w:tcPr>
                      <w:p w14:paraId="2730F89A" w14:textId="77777777" w:rsidR="00242D56" w:rsidRDefault="00242D56">
                        <w:pPr>
                          <w:rPr>
                            <w:rFonts w:ascii="Times New Roman" w:eastAsia="Times New Roman" w:hAnsi="Times New Roman" w:cs="Times New Roman"/>
                            <w:sz w:val="20"/>
                            <w:szCs w:val="20"/>
                          </w:rPr>
                        </w:pPr>
                      </w:p>
                    </w:tc>
                    <w:tc>
                      <w:tcPr>
                        <w:tcW w:w="150" w:type="dxa"/>
                        <w:vAlign w:val="center"/>
                        <w:hideMark/>
                      </w:tcPr>
                      <w:p w14:paraId="1CBDFFF1" w14:textId="77777777" w:rsidR="00242D56" w:rsidRDefault="00242D56">
                        <w:pPr>
                          <w:rPr>
                            <w:rFonts w:ascii="Times New Roman" w:eastAsia="Times New Roman" w:hAnsi="Times New Roman" w:cs="Times New Roman"/>
                            <w:sz w:val="20"/>
                            <w:szCs w:val="20"/>
                          </w:rPr>
                        </w:pPr>
                      </w:p>
                    </w:tc>
                  </w:tr>
                  <w:tr w:rsidR="00242D56" w14:paraId="6407F558" w14:textId="77777777">
                    <w:trPr>
                      <w:tblCellSpacing w:w="15" w:type="dxa"/>
                      <w:jc w:val="center"/>
                    </w:trPr>
                    <w:tc>
                      <w:tcPr>
                        <w:tcW w:w="150" w:type="dxa"/>
                        <w:vAlign w:val="center"/>
                        <w:hideMark/>
                      </w:tcPr>
                      <w:p w14:paraId="55CF3938" w14:textId="77777777" w:rsidR="00242D56" w:rsidRDefault="00242D56">
                        <w:pPr>
                          <w:rPr>
                            <w:rFonts w:ascii="Times New Roman" w:eastAsia="Times New Roman" w:hAnsi="Times New Roman" w:cs="Times New Roman"/>
                            <w:sz w:val="20"/>
                            <w:szCs w:val="20"/>
                          </w:rPr>
                        </w:pPr>
                      </w:p>
                    </w:tc>
                    <w:tc>
                      <w:tcPr>
                        <w:tcW w:w="8700" w:type="dxa"/>
                        <w:vAlign w:val="center"/>
                        <w:hideMark/>
                      </w:tcPr>
                      <w:p w14:paraId="09D2F0B7" w14:textId="77777777" w:rsidR="00242D56" w:rsidRDefault="00242D5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C694803" w14:textId="77777777" w:rsidR="00242D56" w:rsidRDefault="00FC66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1528F6A">
                            <v:rect id="_x0000_i1025" style="width:468pt;height:1.5pt" o:hralign="center" o:hrstd="t" o:hr="t" fillcolor="#a0a0a0" stroked="f"/>
                          </w:pict>
                        </w:r>
                      </w:p>
                      <w:p w14:paraId="6DFC8962" w14:textId="77777777" w:rsidR="00242D56" w:rsidRDefault="00242D56">
                        <w:pPr>
                          <w:pStyle w:val="Heading2"/>
                          <w:rPr>
                            <w:rFonts w:eastAsia="Times New Roman"/>
                          </w:rPr>
                        </w:pPr>
                        <w:r>
                          <w:rPr>
                            <w:rFonts w:eastAsia="Times New Roman"/>
                          </w:rPr>
                          <w:t>In this update: Video update from PSNC Policy Team; upcoming deadline to confirm CPCS IT provider; Drug Tariff updates; NHS Prescription Services newsletter.</w:t>
                        </w:r>
                      </w:p>
                      <w:p w14:paraId="0C2F5CD5" w14:textId="77777777" w:rsidR="00242D56" w:rsidRDefault="00FC661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754ACF4">
                            <v:rect id="_x0000_i1026" style="width:468pt;height:1.5pt" o:hralign="center" o:hrstd="t" o:hr="t" fillcolor="#a0a0a0" stroked="f"/>
                          </w:pict>
                        </w:r>
                      </w:p>
                      <w:p w14:paraId="1008FDF8" w14:textId="77777777" w:rsidR="00242D56" w:rsidRDefault="00242D56">
                        <w:pPr>
                          <w:pStyle w:val="Heading2"/>
                          <w:rPr>
                            <w:rFonts w:eastAsia="Times New Roman"/>
                          </w:rPr>
                        </w:pPr>
                        <w:r>
                          <w:rPr>
                            <w:rFonts w:eastAsia="Times New Roman"/>
                          </w:rPr>
                          <w:t>January video update from PSNC Policy Team</w:t>
                        </w:r>
                      </w:p>
                      <w:p w14:paraId="4403DB79" w14:textId="77777777" w:rsidR="00242D56" w:rsidRDefault="00242D56" w:rsidP="00A72F0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new video update from Mike Dent, PSNC’s Director of Pharmacy Funding, is now available to watch.</w:t>
                        </w:r>
                      </w:p>
                      <w:p w14:paraId="5B580D54" w14:textId="77777777" w:rsidR="003F5FE8" w:rsidRDefault="003F5FE8" w:rsidP="00A72F04">
                        <w:pPr>
                          <w:pStyle w:val="NormalWeb"/>
                          <w:spacing w:before="0" w:beforeAutospacing="0" w:after="0" w:afterAutospacing="0" w:line="264" w:lineRule="auto"/>
                          <w:rPr>
                            <w:rFonts w:ascii="Tahoma" w:hAnsi="Tahoma" w:cs="Tahoma"/>
                            <w:color w:val="303030"/>
                            <w:sz w:val="21"/>
                            <w:szCs w:val="21"/>
                          </w:rPr>
                        </w:pPr>
                      </w:p>
                      <w:p w14:paraId="63079CA1" w14:textId="77777777" w:rsidR="00242D56" w:rsidRDefault="00242D56" w:rsidP="00A72F0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In the video, Mike asks all pharmacies in England to take part in PSNC’s 2022 Pharmacy Advice Audit. He describes the importance of the audit by explaining how the data from the previous two audit's provided crucial evidence in negotiations and helped build support for last year’s COVID costs bid.</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Watch the January video update</w:t>
                          </w:r>
                        </w:hyperlink>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how to take part in the audit</w:t>
                          </w:r>
                        </w:hyperlink>
                      </w:p>
                      <w:p w14:paraId="3610A701" w14:textId="77777777" w:rsidR="00242D56" w:rsidRDefault="00FC6618" w:rsidP="00A72F0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67BBF25">
                            <v:rect id="_x0000_i1027" style="width:468pt;height:1.5pt" o:hrstd="t" o:hr="t" fillcolor="#a0a0a0" stroked="f"/>
                          </w:pict>
                        </w:r>
                      </w:p>
                      <w:p w14:paraId="37E39506" w14:textId="77777777" w:rsidR="00242D56" w:rsidRDefault="00242D56" w:rsidP="00A72F04">
                        <w:pPr>
                          <w:pStyle w:val="Heading3"/>
                          <w:spacing w:after="0"/>
                          <w:rPr>
                            <w:rFonts w:eastAsia="Times New Roman"/>
                          </w:rPr>
                        </w:pPr>
                        <w:r>
                          <w:rPr>
                            <w:rFonts w:eastAsia="Times New Roman"/>
                          </w:rPr>
                          <w:t>Have you confirmed your choice of CPCS IT system?</w:t>
                        </w:r>
                      </w:p>
                      <w:p w14:paraId="30D8E1D8" w14:textId="77777777" w:rsidR="00242D56" w:rsidRDefault="00242D56" w:rsidP="00A72F0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national procurement of IT support for the NHS Community Pharmacist Consultation Service (CPCS) is due to stop at the end of March 2022. Community pharmacy contractors that wish to continue providing CPCS must, therefore, confirm their choice of CPCS IT system by no later than </w:t>
                        </w:r>
                        <w:r>
                          <w:rPr>
                            <w:rStyle w:val="Strong"/>
                            <w:rFonts w:ascii="Tahoma" w:hAnsi="Tahoma" w:cs="Tahoma"/>
                            <w:color w:val="303030"/>
                            <w:sz w:val="21"/>
                            <w:szCs w:val="21"/>
                          </w:rPr>
                          <w:t>February 2022</w:t>
                        </w:r>
                        <w:r>
                          <w:rPr>
                            <w:rFonts w:ascii="Tahoma" w:hAnsi="Tahoma" w:cs="Tahoma"/>
                            <w:color w:val="303030"/>
                            <w:sz w:val="21"/>
                            <w:szCs w:val="21"/>
                          </w:rPr>
                          <w:t>. Failure to do so could impact referrals and service continuity.</w:t>
                        </w:r>
                      </w:p>
                      <w:p w14:paraId="6B305616" w14:textId="77777777" w:rsidR="003F5FE8" w:rsidRDefault="003F5FE8" w:rsidP="00A72F04">
                        <w:pPr>
                          <w:pStyle w:val="NormalWeb"/>
                          <w:spacing w:before="0" w:beforeAutospacing="0" w:after="0" w:afterAutospacing="0" w:line="264" w:lineRule="auto"/>
                          <w:rPr>
                            <w:rFonts w:ascii="Tahoma" w:hAnsi="Tahoma" w:cs="Tahoma"/>
                            <w:color w:val="303030"/>
                            <w:sz w:val="21"/>
                            <w:szCs w:val="21"/>
                          </w:rPr>
                        </w:pPr>
                      </w:p>
                      <w:p w14:paraId="0B5CED12" w14:textId="77777777" w:rsidR="00242D56" w:rsidRDefault="00242D56" w:rsidP="00A72F0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Guides from PSNC and NHSX list the verified system suppliers and explain how contractors can either confirm that they wish to stay with their current IT provider or switch to a new provider.</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the guides and learn more about this change</w:t>
                          </w:r>
                        </w:hyperlink>
                      </w:p>
                      <w:p w14:paraId="06FF779A" w14:textId="77777777" w:rsidR="00242D56" w:rsidRDefault="00FC6618" w:rsidP="00A72F0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60B240">
                            <v:rect id="_x0000_i1028" style="width:468pt;height:1.5pt" o:hrstd="t" o:hr="t" fillcolor="#a0a0a0" stroked="f"/>
                          </w:pict>
                        </w:r>
                      </w:p>
                      <w:p w14:paraId="119BFAEE" w14:textId="77777777" w:rsidR="00242D56" w:rsidRDefault="00242D56" w:rsidP="00A72F04">
                        <w:pPr>
                          <w:pStyle w:val="Heading2"/>
                          <w:spacing w:after="0"/>
                          <w:rPr>
                            <w:rFonts w:eastAsia="Times New Roman"/>
                          </w:rPr>
                        </w:pPr>
                        <w:r>
                          <w:rPr>
                            <w:rFonts w:eastAsia="Times New Roman"/>
                          </w:rPr>
                          <w:t>Drug Tariff updates</w:t>
                        </w:r>
                      </w:p>
                      <w:p w14:paraId="27F647D7" w14:textId="77777777" w:rsidR="00242D56" w:rsidRDefault="00242D56" w:rsidP="00A72F04">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Drug Tariff Watch - February 2022</w:t>
                        </w:r>
                        <w:r>
                          <w:rPr>
                            <w:rFonts w:ascii="Tahoma" w:eastAsia="Times New Roman" w:hAnsi="Tahoma" w:cs="Tahoma"/>
                            <w:color w:val="303030"/>
                            <w:sz w:val="21"/>
                            <w:szCs w:val="21"/>
                          </w:rPr>
                          <w:br/>
                          <w:t xml:space="preserve">PSNC's </w:t>
                        </w:r>
                        <w:proofErr w:type="gramStart"/>
                        <w:r>
                          <w:rPr>
                            <w:rFonts w:ascii="Tahoma" w:eastAsia="Times New Roman" w:hAnsi="Tahoma" w:cs="Tahoma"/>
                            <w:color w:val="303030"/>
                            <w:sz w:val="21"/>
                            <w:szCs w:val="21"/>
                          </w:rPr>
                          <w:t>Dispensing</w:t>
                        </w:r>
                        <w:proofErr w:type="gramEnd"/>
                        <w:r>
                          <w:rPr>
                            <w:rFonts w:ascii="Tahoma" w:eastAsia="Times New Roman" w:hAnsi="Tahoma" w:cs="Tahoma"/>
                            <w:color w:val="303030"/>
                            <w:sz w:val="21"/>
                            <w:szCs w:val="21"/>
                          </w:rPr>
                          <w:t xml:space="preserve"> and Supply Team has created a summary of the Drug Tariff changes for February 2022. This includes details of additions, deletions and category and price changes.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the February 2022 Drug Tariff Watch</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Products added to the February DND list</w:t>
                        </w:r>
                        <w:r>
                          <w:rPr>
                            <w:rFonts w:ascii="Tahoma" w:eastAsia="Times New Roman" w:hAnsi="Tahoma" w:cs="Tahoma"/>
                            <w:color w:val="303030"/>
                            <w:sz w:val="21"/>
                            <w:szCs w:val="21"/>
                          </w:rPr>
                          <w:br/>
                          <w:t>Following applications made by PSNC to the Department of Health and Social Care (DHSC) and the NHS Business Services Authority (NHSBSA), a further 32 new products will enter the list of ‘Drugs for which Discount is Not Deducted’ (DND) in Part II of the Drug Tariff from</w:t>
                        </w:r>
                        <w:r>
                          <w:rPr>
                            <w:rStyle w:val="Strong"/>
                            <w:rFonts w:ascii="Tahoma" w:eastAsia="Times New Roman" w:hAnsi="Tahoma" w:cs="Tahoma"/>
                            <w:color w:val="303030"/>
                            <w:sz w:val="21"/>
                            <w:szCs w:val="21"/>
                          </w:rPr>
                          <w:t> tomorrow (1st February).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about the DND list</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New section added to the Drug Tariff</w:t>
                        </w:r>
                        <w:r>
                          <w:rPr>
                            <w:rFonts w:ascii="Tahoma" w:eastAsia="Times New Roman" w:hAnsi="Tahoma" w:cs="Tahoma"/>
                            <w:color w:val="303030"/>
                            <w:sz w:val="21"/>
                            <w:szCs w:val="21"/>
                          </w:rPr>
                          <w:br/>
                          <w:t>The Drug Tariff will include a new section, Part VIIID, from March 2022. This section will outline the payment arrangements for specials and imported unlicensed medicines to be paid relative to an identified pack size.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Find out more about this Drug Tariff change</w:t>
                          </w:r>
                        </w:hyperlink>
                        <w:r>
                          <w:rPr>
                            <w:rFonts w:ascii="Tahoma" w:eastAsia="Times New Roman" w:hAnsi="Tahoma" w:cs="Tahoma"/>
                            <w:color w:val="303030"/>
                            <w:sz w:val="21"/>
                            <w:szCs w:val="21"/>
                          </w:rPr>
                          <w:t xml:space="preserve"> </w:t>
                        </w:r>
                      </w:p>
                      <w:p w14:paraId="2E2ED29B" w14:textId="77777777" w:rsidR="00242D56" w:rsidRDefault="00FC6618" w:rsidP="00A72F0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CA329DA">
                            <v:rect id="_x0000_i1029" style="width:468pt;height:1.5pt" o:hrstd="t" o:hr="t" fillcolor="#a0a0a0" stroked="f"/>
                          </w:pict>
                        </w:r>
                      </w:p>
                      <w:p w14:paraId="5552536F" w14:textId="77777777" w:rsidR="00242D56" w:rsidRDefault="00242D56" w:rsidP="00242D56">
                        <w:pPr>
                          <w:pStyle w:val="Heading3"/>
                          <w:spacing w:after="0"/>
                          <w:rPr>
                            <w:rFonts w:eastAsia="Times New Roman"/>
                          </w:rPr>
                        </w:pPr>
                        <w:r>
                          <w:rPr>
                            <w:rFonts w:eastAsia="Times New Roman"/>
                          </w:rPr>
                          <w:t>NHS Prescription Services 'Hints &amp; Tips' – Issue 46</w:t>
                        </w:r>
                      </w:p>
                      <w:p w14:paraId="52579BF8" w14:textId="77777777" w:rsidR="00242D56" w:rsidRDefault="00242D56" w:rsidP="00242D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Prescription Services produces a quarterly newsletter called "Hints &amp; Tips for dispensing contractors". The latest edition contains some useful information and advice on the extension to the 2021/22 Pharmacy Quality Scheme (PQS), digital NHS Prescription Prepayment Certificates, and more. </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Read more</w:t>
                          </w:r>
                        </w:hyperlink>
                      </w:p>
                    </w:tc>
                    <w:tc>
                      <w:tcPr>
                        <w:tcW w:w="150" w:type="dxa"/>
                        <w:vAlign w:val="center"/>
                        <w:hideMark/>
                      </w:tcPr>
                      <w:p w14:paraId="06076059" w14:textId="77777777" w:rsidR="00242D56" w:rsidRDefault="00242D56">
                        <w:pPr>
                          <w:rPr>
                            <w:rFonts w:ascii="Tahoma" w:hAnsi="Tahoma" w:cs="Tahoma"/>
                            <w:color w:val="303030"/>
                            <w:sz w:val="21"/>
                            <w:szCs w:val="21"/>
                          </w:rPr>
                        </w:pPr>
                      </w:p>
                    </w:tc>
                  </w:tr>
                  <w:tr w:rsidR="00242D56" w14:paraId="7FFE0884" w14:textId="77777777">
                    <w:trPr>
                      <w:trHeight w:val="150"/>
                      <w:tblCellSpacing w:w="15" w:type="dxa"/>
                      <w:jc w:val="center"/>
                    </w:trPr>
                    <w:tc>
                      <w:tcPr>
                        <w:tcW w:w="150" w:type="dxa"/>
                        <w:vAlign w:val="center"/>
                        <w:hideMark/>
                      </w:tcPr>
                      <w:p w14:paraId="205C27F5" w14:textId="77777777" w:rsidR="00242D56" w:rsidRDefault="00242D56">
                        <w:pPr>
                          <w:rPr>
                            <w:rFonts w:ascii="Times New Roman" w:eastAsia="Times New Roman" w:hAnsi="Times New Roman" w:cs="Times New Roman"/>
                            <w:sz w:val="20"/>
                            <w:szCs w:val="20"/>
                          </w:rPr>
                        </w:pPr>
                      </w:p>
                    </w:tc>
                    <w:tc>
                      <w:tcPr>
                        <w:tcW w:w="8700" w:type="dxa"/>
                        <w:vAlign w:val="center"/>
                        <w:hideMark/>
                      </w:tcPr>
                      <w:p w14:paraId="0A75A691" w14:textId="77777777" w:rsidR="00242D56" w:rsidRDefault="00242D56">
                        <w:pPr>
                          <w:rPr>
                            <w:rFonts w:ascii="Times New Roman" w:eastAsia="Times New Roman" w:hAnsi="Times New Roman" w:cs="Times New Roman"/>
                            <w:sz w:val="20"/>
                            <w:szCs w:val="20"/>
                          </w:rPr>
                        </w:pPr>
                      </w:p>
                    </w:tc>
                    <w:tc>
                      <w:tcPr>
                        <w:tcW w:w="150" w:type="dxa"/>
                        <w:vAlign w:val="center"/>
                        <w:hideMark/>
                      </w:tcPr>
                      <w:p w14:paraId="5E83C3DE" w14:textId="77777777" w:rsidR="00242D56" w:rsidRDefault="00242D56">
                        <w:pPr>
                          <w:rPr>
                            <w:rFonts w:ascii="Times New Roman" w:eastAsia="Times New Roman" w:hAnsi="Times New Roman" w:cs="Times New Roman"/>
                            <w:sz w:val="20"/>
                            <w:szCs w:val="20"/>
                          </w:rPr>
                        </w:pPr>
                      </w:p>
                    </w:tc>
                  </w:tr>
                </w:tbl>
                <w:p w14:paraId="4F99AD3C" w14:textId="77777777" w:rsidR="00242D56" w:rsidRDefault="00242D56">
                  <w:pPr>
                    <w:jc w:val="center"/>
                    <w:rPr>
                      <w:rFonts w:ascii="Times New Roman" w:eastAsia="Times New Roman" w:hAnsi="Times New Roman" w:cs="Times New Roman"/>
                      <w:sz w:val="20"/>
                      <w:szCs w:val="20"/>
                    </w:rPr>
                  </w:pPr>
                </w:p>
              </w:tc>
            </w:tr>
          </w:tbl>
          <w:p w14:paraId="35AB428C" w14:textId="77777777" w:rsidR="00242D56" w:rsidRDefault="00242D56">
            <w:pPr>
              <w:jc w:val="center"/>
              <w:rPr>
                <w:rFonts w:ascii="Times New Roman" w:eastAsia="Times New Roman" w:hAnsi="Times New Roman" w:cs="Times New Roman"/>
                <w:sz w:val="20"/>
                <w:szCs w:val="20"/>
              </w:rPr>
            </w:pPr>
          </w:p>
        </w:tc>
      </w:tr>
      <w:tr w:rsidR="00242D56" w14:paraId="1FB0F7E8" w14:textId="77777777" w:rsidTr="00242D5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42D56" w14:paraId="171CEE0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42D56" w14:paraId="5B84A0AF" w14:textId="77777777">
                    <w:trPr>
                      <w:tblCellSpacing w:w="0" w:type="dxa"/>
                      <w:jc w:val="center"/>
                    </w:trPr>
                    <w:tc>
                      <w:tcPr>
                        <w:tcW w:w="3000" w:type="dxa"/>
                        <w:tcMar>
                          <w:top w:w="30" w:type="dxa"/>
                          <w:left w:w="75" w:type="dxa"/>
                          <w:bottom w:w="30" w:type="dxa"/>
                          <w:right w:w="75" w:type="dxa"/>
                        </w:tcMar>
                        <w:hideMark/>
                      </w:tcPr>
                      <w:p w14:paraId="492C67F7" w14:textId="77777777" w:rsidR="00242D56" w:rsidRDefault="00242D56">
                        <w:pPr>
                          <w:pStyle w:val="Heading4"/>
                          <w:jc w:val="center"/>
                          <w:rPr>
                            <w:rFonts w:eastAsia="Times New Roman"/>
                          </w:rPr>
                        </w:pPr>
                        <w:r>
                          <w:rPr>
                            <w:rFonts w:eastAsia="Times New Roman"/>
                          </w:rPr>
                          <w:lastRenderedPageBreak/>
                          <w:t>Pharmaceutical Services Negotiating Committee</w:t>
                        </w:r>
                      </w:p>
                      <w:p w14:paraId="479D38AF" w14:textId="61427E0B" w:rsidR="00242D56" w:rsidRDefault="00242D5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A89598C" wp14:editId="305252E2">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3D4964" wp14:editId="774ABD03">
                              <wp:extent cx="609600" cy="304800"/>
                              <wp:effectExtent l="0" t="0" r="0" b="0"/>
                              <wp:docPr id="4" name="Picture 4"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3572FE" wp14:editId="1EEAA590">
                              <wp:extent cx="609600" cy="304800"/>
                              <wp:effectExtent l="0" t="0" r="0" b="0"/>
                              <wp:docPr id="3" name="Picture 3"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89692A" wp14:editId="685BF4F5">
                              <wp:extent cx="609600" cy="304800"/>
                              <wp:effectExtent l="0" t="0" r="0" b="0"/>
                              <wp:docPr id="2" name="Picture 2"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5947620" w14:textId="77777777" w:rsidR="00242D56" w:rsidRDefault="00242D5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42D56" w14:paraId="6DFFD189" w14:textId="77777777" w:rsidTr="00242D56">
                    <w:trPr>
                      <w:trHeight w:val="20"/>
                      <w:tblCellSpacing w:w="0" w:type="dxa"/>
                      <w:jc w:val="center"/>
                    </w:trPr>
                    <w:tc>
                      <w:tcPr>
                        <w:tcW w:w="9000" w:type="dxa"/>
                        <w:tcMar>
                          <w:top w:w="150" w:type="dxa"/>
                          <w:left w:w="0" w:type="dxa"/>
                          <w:bottom w:w="0" w:type="dxa"/>
                          <w:right w:w="0" w:type="dxa"/>
                        </w:tcMar>
                        <w:vAlign w:val="center"/>
                        <w:hideMark/>
                      </w:tcPr>
                      <w:p w14:paraId="0A154B8B" w14:textId="20039CF1" w:rsidR="00242D56" w:rsidRDefault="00242D56" w:rsidP="00242D56">
                        <w:pPr>
                          <w:rPr>
                            <w:rFonts w:ascii="Arial" w:eastAsia="Times New Roman" w:hAnsi="Arial" w:cs="Arial"/>
                            <w:color w:val="FFFFFF"/>
                            <w:sz w:val="17"/>
                            <w:szCs w:val="17"/>
                          </w:rPr>
                        </w:pPr>
                      </w:p>
                    </w:tc>
                  </w:tr>
                </w:tbl>
                <w:p w14:paraId="0A165DE6" w14:textId="77777777" w:rsidR="00242D56" w:rsidRDefault="00242D56">
                  <w:pPr>
                    <w:jc w:val="center"/>
                    <w:rPr>
                      <w:rFonts w:ascii="Times New Roman" w:eastAsia="Times New Roman" w:hAnsi="Times New Roman" w:cs="Times New Roman"/>
                      <w:sz w:val="20"/>
                      <w:szCs w:val="20"/>
                    </w:rPr>
                  </w:pPr>
                </w:p>
              </w:tc>
            </w:tr>
          </w:tbl>
          <w:p w14:paraId="4BE4B2EC" w14:textId="77777777" w:rsidR="00242D56" w:rsidRDefault="00242D56">
            <w:pPr>
              <w:jc w:val="center"/>
              <w:rPr>
                <w:rFonts w:ascii="Times New Roman" w:eastAsia="Times New Roman" w:hAnsi="Times New Roman" w:cs="Times New Roman"/>
                <w:sz w:val="20"/>
                <w:szCs w:val="20"/>
              </w:rPr>
            </w:pPr>
          </w:p>
        </w:tc>
      </w:tr>
    </w:tbl>
    <w:p w14:paraId="63232F89" w14:textId="16E72DA2" w:rsidR="00242D56" w:rsidRDefault="00242D56" w:rsidP="00242D56">
      <w:pPr>
        <w:rPr>
          <w:rFonts w:eastAsia="Times New Roman"/>
        </w:rPr>
      </w:pPr>
      <w:r>
        <w:rPr>
          <w:rFonts w:eastAsia="Times New Roman"/>
          <w:noProof/>
        </w:rPr>
        <w:drawing>
          <wp:inline distT="0" distB="0" distL="0" distR="0" wp14:anchorId="3F9469DE" wp14:editId="05B8A03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82409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56"/>
    <w:rsid w:val="00242D56"/>
    <w:rsid w:val="003F5FE8"/>
    <w:rsid w:val="00651CBC"/>
    <w:rsid w:val="008F4662"/>
    <w:rsid w:val="00A72F04"/>
    <w:rsid w:val="00DD1890"/>
    <w:rsid w:val="00FC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2A14C6"/>
  <w15:chartTrackingRefBased/>
  <w15:docId w15:val="{C176F634-E3FE-42AD-8C87-7907E99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56"/>
    <w:rPr>
      <w:rFonts w:ascii="Calibri" w:hAnsi="Calibri" w:cs="Calibri"/>
      <w:lang w:eastAsia="en-GB"/>
    </w:rPr>
  </w:style>
  <w:style w:type="paragraph" w:styleId="Heading1">
    <w:name w:val="heading 1"/>
    <w:basedOn w:val="Normal"/>
    <w:link w:val="Heading1Char"/>
    <w:uiPriority w:val="9"/>
    <w:qFormat/>
    <w:rsid w:val="00242D5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42D5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242D5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242D5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D5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42D5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242D5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242D56"/>
    <w:rPr>
      <w:rFonts w:ascii="Tahoma" w:hAnsi="Tahoma" w:cs="Tahoma"/>
      <w:b/>
      <w:bCs/>
      <w:color w:val="FFFFFF"/>
      <w:sz w:val="18"/>
      <w:szCs w:val="18"/>
      <w:lang w:eastAsia="en-GB"/>
    </w:rPr>
  </w:style>
  <w:style w:type="paragraph" w:styleId="NormalWeb">
    <w:name w:val="Normal (Web)"/>
    <w:basedOn w:val="Normal"/>
    <w:uiPriority w:val="99"/>
    <w:semiHidden/>
    <w:unhideWhenUsed/>
    <w:rsid w:val="00242D56"/>
    <w:pPr>
      <w:spacing w:before="100" w:beforeAutospacing="1" w:after="100" w:afterAutospacing="1"/>
    </w:pPr>
  </w:style>
  <w:style w:type="character" w:styleId="Strong">
    <w:name w:val="Strong"/>
    <w:basedOn w:val="DefaultParagraphFont"/>
    <w:uiPriority w:val="22"/>
    <w:qFormat/>
    <w:rsid w:val="00242D56"/>
    <w:rPr>
      <w:b/>
      <w:bCs/>
    </w:rPr>
  </w:style>
  <w:style w:type="character" w:styleId="Hyperlink">
    <w:name w:val="Hyperlink"/>
    <w:basedOn w:val="DefaultParagraphFont"/>
    <w:uiPriority w:val="99"/>
    <w:semiHidden/>
    <w:unhideWhenUsed/>
    <w:rsid w:val="00242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5e39ce4ab&amp;e=d19e9fd41c" TargetMode="External"/><Relationship Id="rId13" Type="http://schemas.openxmlformats.org/officeDocument/2006/relationships/hyperlink" Target="https://psnc.us7.list-manage.com/track/click?u=86d41ab7fa4c7c2c5d7210782&amp;id=b8c3657d32&amp;e=d19e9fd41c" TargetMode="External"/><Relationship Id="rId18" Type="http://schemas.openxmlformats.org/officeDocument/2006/relationships/hyperlink" Target="https://psnc.us7.list-manage.com/track/click?u=86d41ab7fa4c7c2c5d7210782&amp;id=3d3b83d660&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452e31a82a&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dd4888b19&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00c45c52c0&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433d40824&amp;e=d19e9fd41c" TargetMode="External"/><Relationship Id="rId24" Type="http://schemas.openxmlformats.org/officeDocument/2006/relationships/hyperlink" Target="https://psnc.us7.list-manage.com/track/click?u=86d41ab7fa4c7c2c5d7210782&amp;id=91fd9bface&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b845e1601&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08dfd1bd9a&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b88c63ee81&amp;e=d19e9fd41c" TargetMode="External"/><Relationship Id="rId14" Type="http://schemas.openxmlformats.org/officeDocument/2006/relationships/hyperlink" Target="https://psnc.us7.list-manage.com/track/click?u=86d41ab7fa4c7c2c5d7210782&amp;id=fa49ea36d4&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2022-02-01T10:33:00Z</dcterms:created>
  <dcterms:modified xsi:type="dcterms:W3CDTF">2022-02-01T10:33:00Z</dcterms:modified>
</cp:coreProperties>
</file>