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24A29" w14:paraId="4F81B25B" w14:textId="77777777" w:rsidTr="00724A2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4A29" w14:paraId="2077A59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24A29" w14:paraId="6842D081" w14:textId="77777777">
                    <w:trPr>
                      <w:tblCellSpacing w:w="0" w:type="dxa"/>
                      <w:jc w:val="center"/>
                    </w:trPr>
                    <w:tc>
                      <w:tcPr>
                        <w:tcW w:w="3000" w:type="dxa"/>
                        <w:hideMark/>
                      </w:tcPr>
                      <w:p w14:paraId="03E7A21C" w14:textId="3D52661B" w:rsidR="00724A29" w:rsidRDefault="00724A2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645D7E0" w14:textId="77777777" w:rsidR="00724A29" w:rsidRDefault="00724A29">
                  <w:pPr>
                    <w:jc w:val="center"/>
                    <w:rPr>
                      <w:rFonts w:ascii="Times New Roman" w:eastAsia="Times New Roman" w:hAnsi="Times New Roman" w:cs="Times New Roman"/>
                      <w:sz w:val="20"/>
                      <w:szCs w:val="20"/>
                    </w:rPr>
                  </w:pPr>
                </w:p>
              </w:tc>
            </w:tr>
            <w:tr w:rsidR="00724A29" w14:paraId="4BAC86D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24A29" w14:paraId="729A17A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50BD93F" w14:textId="3F661EC1" w:rsidR="00724A29" w:rsidRDefault="00724A29">
                        <w:pPr>
                          <w:jc w:val="center"/>
                          <w:rPr>
                            <w:rFonts w:eastAsia="Times New Roman"/>
                          </w:rPr>
                        </w:pPr>
                        <w:r>
                          <w:rPr>
                            <w:rFonts w:eastAsia="Times New Roman"/>
                            <w:noProof/>
                          </w:rPr>
                          <w:drawing>
                            <wp:inline distT="0" distB="0" distL="0" distR="0" wp14:anchorId="76E74F36" wp14:editId="4F02F46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24A29" w14:paraId="761B1413" w14:textId="77777777">
                    <w:trPr>
                      <w:tblCellSpacing w:w="0" w:type="dxa"/>
                    </w:trPr>
                    <w:tc>
                      <w:tcPr>
                        <w:tcW w:w="0" w:type="auto"/>
                        <w:vMerge/>
                        <w:tcBorders>
                          <w:top w:val="nil"/>
                          <w:left w:val="nil"/>
                          <w:bottom w:val="single" w:sz="2" w:space="0" w:color="FFFFFF"/>
                          <w:right w:val="nil"/>
                        </w:tcBorders>
                        <w:vAlign w:val="center"/>
                        <w:hideMark/>
                      </w:tcPr>
                      <w:p w14:paraId="1C898236" w14:textId="77777777" w:rsidR="00724A29" w:rsidRDefault="00724A29">
                        <w:pPr>
                          <w:rPr>
                            <w:rFonts w:eastAsia="Times New Roman"/>
                          </w:rPr>
                        </w:pPr>
                      </w:p>
                    </w:tc>
                    <w:tc>
                      <w:tcPr>
                        <w:tcW w:w="3450" w:type="dxa"/>
                        <w:tcBorders>
                          <w:top w:val="nil"/>
                          <w:left w:val="nil"/>
                          <w:bottom w:val="nil"/>
                          <w:right w:val="nil"/>
                        </w:tcBorders>
                        <w:vAlign w:val="center"/>
                        <w:hideMark/>
                      </w:tcPr>
                      <w:p w14:paraId="62551BDF" w14:textId="77777777" w:rsidR="00724A29" w:rsidRDefault="00724A29">
                        <w:pPr>
                          <w:pStyle w:val="Heading1"/>
                          <w:rPr>
                            <w:rFonts w:eastAsia="Times New Roman"/>
                          </w:rPr>
                        </w:pPr>
                        <w:r>
                          <w:rPr>
                            <w:rFonts w:eastAsia="Times New Roman"/>
                          </w:rPr>
                          <w:t>PSNC Newsletter</w:t>
                        </w:r>
                      </w:p>
                    </w:tc>
                  </w:tr>
                  <w:tr w:rsidR="00724A29" w14:paraId="6ACCBF56" w14:textId="77777777">
                    <w:trPr>
                      <w:tblCellSpacing w:w="0" w:type="dxa"/>
                    </w:trPr>
                    <w:tc>
                      <w:tcPr>
                        <w:tcW w:w="0" w:type="auto"/>
                        <w:vMerge/>
                        <w:tcBorders>
                          <w:top w:val="nil"/>
                          <w:left w:val="nil"/>
                          <w:bottom w:val="single" w:sz="2" w:space="0" w:color="FFFFFF"/>
                          <w:right w:val="nil"/>
                        </w:tcBorders>
                        <w:vAlign w:val="center"/>
                        <w:hideMark/>
                      </w:tcPr>
                      <w:p w14:paraId="07DE037C" w14:textId="77777777" w:rsidR="00724A29" w:rsidRDefault="00724A2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B3852C8" w14:textId="77777777" w:rsidR="00724A29" w:rsidRDefault="00724A29">
                        <w:pPr>
                          <w:pStyle w:val="Heading2"/>
                          <w:rPr>
                            <w:rFonts w:eastAsia="Times New Roman"/>
                            <w:color w:val="93378A"/>
                          </w:rPr>
                        </w:pPr>
                        <w:r>
                          <w:rPr>
                            <w:rFonts w:eastAsia="Times New Roman"/>
                            <w:color w:val="93378A"/>
                          </w:rPr>
                          <w:t>Monday 28th February 2022</w:t>
                        </w:r>
                      </w:p>
                    </w:tc>
                  </w:tr>
                </w:tbl>
                <w:p w14:paraId="4BD529AC" w14:textId="77777777" w:rsidR="00724A29" w:rsidRDefault="00724A29">
                  <w:pPr>
                    <w:rPr>
                      <w:rFonts w:ascii="Times New Roman" w:eastAsia="Times New Roman" w:hAnsi="Times New Roman" w:cs="Times New Roman"/>
                      <w:sz w:val="20"/>
                      <w:szCs w:val="20"/>
                    </w:rPr>
                  </w:pPr>
                </w:p>
              </w:tc>
            </w:tr>
            <w:tr w:rsidR="00724A29" w14:paraId="5424C7DB" w14:textId="77777777">
              <w:tblPrEx>
                <w:shd w:val="clear" w:color="auto" w:fill="auto"/>
              </w:tblPrEx>
              <w:trPr>
                <w:tblCellSpacing w:w="0" w:type="dxa"/>
                <w:jc w:val="center"/>
              </w:trPr>
              <w:tc>
                <w:tcPr>
                  <w:tcW w:w="9000" w:type="dxa"/>
                  <w:hideMark/>
                </w:tcPr>
                <w:p w14:paraId="34BD103D" w14:textId="28618341" w:rsidR="00724A29" w:rsidRDefault="00724A29">
                  <w:pPr>
                    <w:rPr>
                      <w:rFonts w:eastAsia="Times New Roman"/>
                    </w:rPr>
                  </w:pPr>
                  <w:r>
                    <w:rPr>
                      <w:rFonts w:eastAsia="Times New Roman"/>
                      <w:noProof/>
                    </w:rPr>
                    <w:drawing>
                      <wp:inline distT="0" distB="0" distL="0" distR="0" wp14:anchorId="22D6CF8B" wp14:editId="76BF6A6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24A29" w14:paraId="4A1AE4D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24A29" w14:paraId="41BD8097" w14:textId="77777777">
                    <w:trPr>
                      <w:trHeight w:val="150"/>
                      <w:tblCellSpacing w:w="15" w:type="dxa"/>
                      <w:jc w:val="center"/>
                    </w:trPr>
                    <w:tc>
                      <w:tcPr>
                        <w:tcW w:w="150" w:type="dxa"/>
                        <w:vAlign w:val="center"/>
                        <w:hideMark/>
                      </w:tcPr>
                      <w:p w14:paraId="2213F247" w14:textId="77777777" w:rsidR="00724A29" w:rsidRDefault="00724A29">
                        <w:pPr>
                          <w:rPr>
                            <w:rFonts w:eastAsia="Times New Roman"/>
                          </w:rPr>
                        </w:pPr>
                      </w:p>
                    </w:tc>
                    <w:tc>
                      <w:tcPr>
                        <w:tcW w:w="8700" w:type="dxa"/>
                        <w:vAlign w:val="center"/>
                        <w:hideMark/>
                      </w:tcPr>
                      <w:p w14:paraId="72425FD6" w14:textId="77777777" w:rsidR="00724A29" w:rsidRDefault="00724A29">
                        <w:pPr>
                          <w:rPr>
                            <w:rFonts w:ascii="Times New Roman" w:eastAsia="Times New Roman" w:hAnsi="Times New Roman" w:cs="Times New Roman"/>
                            <w:sz w:val="20"/>
                            <w:szCs w:val="20"/>
                          </w:rPr>
                        </w:pPr>
                      </w:p>
                    </w:tc>
                    <w:tc>
                      <w:tcPr>
                        <w:tcW w:w="150" w:type="dxa"/>
                        <w:vAlign w:val="center"/>
                        <w:hideMark/>
                      </w:tcPr>
                      <w:p w14:paraId="776390F8" w14:textId="77777777" w:rsidR="00724A29" w:rsidRDefault="00724A29">
                        <w:pPr>
                          <w:rPr>
                            <w:rFonts w:ascii="Times New Roman" w:eastAsia="Times New Roman" w:hAnsi="Times New Roman" w:cs="Times New Roman"/>
                            <w:sz w:val="20"/>
                            <w:szCs w:val="20"/>
                          </w:rPr>
                        </w:pPr>
                      </w:p>
                    </w:tc>
                  </w:tr>
                  <w:tr w:rsidR="00724A29" w14:paraId="52CB86DE" w14:textId="77777777">
                    <w:trPr>
                      <w:tblCellSpacing w:w="15" w:type="dxa"/>
                      <w:jc w:val="center"/>
                    </w:trPr>
                    <w:tc>
                      <w:tcPr>
                        <w:tcW w:w="150" w:type="dxa"/>
                        <w:vAlign w:val="center"/>
                        <w:hideMark/>
                      </w:tcPr>
                      <w:p w14:paraId="1DFAFC7F" w14:textId="77777777" w:rsidR="00724A29" w:rsidRDefault="00724A29">
                        <w:pPr>
                          <w:rPr>
                            <w:rFonts w:ascii="Times New Roman" w:eastAsia="Times New Roman" w:hAnsi="Times New Roman" w:cs="Times New Roman"/>
                            <w:sz w:val="20"/>
                            <w:szCs w:val="20"/>
                          </w:rPr>
                        </w:pPr>
                      </w:p>
                    </w:tc>
                    <w:tc>
                      <w:tcPr>
                        <w:tcW w:w="8700" w:type="dxa"/>
                        <w:vAlign w:val="center"/>
                        <w:hideMark/>
                      </w:tcPr>
                      <w:p w14:paraId="40B54D3B" w14:textId="77777777" w:rsidR="00724A29" w:rsidRDefault="00724A29">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660BA03" w14:textId="77777777" w:rsidR="00724A29" w:rsidRDefault="00724A2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5E4C3F7">
                            <v:rect id="_x0000_i1032" style="width:468pt;height:1.5pt" o:hralign="center" o:hrstd="t" o:hr="t" fillcolor="#a0a0a0" stroked="f"/>
                          </w:pict>
                        </w:r>
                      </w:p>
                      <w:p w14:paraId="47CCB5F1" w14:textId="77777777" w:rsidR="00724A29" w:rsidRDefault="00724A29">
                        <w:pPr>
                          <w:pStyle w:val="Heading2"/>
                          <w:rPr>
                            <w:rFonts w:eastAsia="Times New Roman"/>
                          </w:rPr>
                        </w:pPr>
                        <w:r>
                          <w:rPr>
                            <w:rFonts w:eastAsia="Times New Roman"/>
                          </w:rPr>
                          <w:t>In this update: PSNC Policy Team blog published; securing earlier advance payment; PQS declaration updates; SSP014 reactivated; new section of Drug Tariff.</w:t>
                        </w:r>
                      </w:p>
                      <w:p w14:paraId="136CC8E1" w14:textId="77777777" w:rsidR="00724A29" w:rsidRDefault="00724A2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43EA49C">
                            <v:rect id="_x0000_i1033" style="width:468pt;height:1.5pt" o:hralign="center" o:hrstd="t" o:hr="t" fillcolor="#a0a0a0" stroked="f"/>
                          </w:pict>
                        </w:r>
                      </w:p>
                      <w:p w14:paraId="4F63098C" w14:textId="77777777" w:rsidR="00724A29" w:rsidRDefault="00724A29" w:rsidP="00724A29">
                        <w:pPr>
                          <w:pStyle w:val="Heading3"/>
                          <w:spacing w:after="0"/>
                          <w:rPr>
                            <w:rFonts w:eastAsia="Times New Roman"/>
                          </w:rPr>
                        </w:pPr>
                        <w:r>
                          <w:rPr>
                            <w:rFonts w:eastAsia="Times New Roman"/>
                          </w:rPr>
                          <w:t>February Policy Team blog published</w:t>
                        </w:r>
                      </w:p>
                      <w:p w14:paraId="25722756"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February's Policy Team blog, PSNC's Director of Communications and Public Affairs, Zoe Long, reflects on the publication of the Government's 'Living with COVID' strategy and what this means for pharmacies as negotiations on Year 4 of the Community Pharmacy Contractual Framework (CPCF) begin.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PSNC's latest Policy Team blog</w:t>
                          </w:r>
                        </w:hyperlink>
                        <w:r>
                          <w:rPr>
                            <w:rFonts w:ascii="Tahoma" w:eastAsia="Times New Roman" w:hAnsi="Tahoma" w:cs="Tahoma"/>
                            <w:color w:val="303030"/>
                            <w:sz w:val="21"/>
                            <w:szCs w:val="21"/>
                          </w:rPr>
                          <w:t xml:space="preserve"> </w:t>
                        </w:r>
                      </w:p>
                      <w:p w14:paraId="275BE22A"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3DD243">
                            <v:rect id="_x0000_i1034" style="width:468pt;height:1.5pt" o:hrstd="t" o:hr="t" fillcolor="#a0a0a0" stroked="f"/>
                          </w:pict>
                        </w:r>
                      </w:p>
                      <w:p w14:paraId="0B002985" w14:textId="77777777" w:rsidR="00724A29" w:rsidRDefault="00724A29" w:rsidP="00724A29">
                        <w:pPr>
                          <w:pStyle w:val="Heading3"/>
                          <w:spacing w:after="0"/>
                          <w:rPr>
                            <w:rFonts w:eastAsia="Times New Roman"/>
                          </w:rPr>
                        </w:pPr>
                        <w:r>
                          <w:rPr>
                            <w:rFonts w:eastAsia="Times New Roman"/>
                          </w:rPr>
                          <w:t>Submit FP34C by 5th March for earlier advance payment</w:t>
                        </w:r>
                      </w:p>
                      <w:p w14:paraId="20459901"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order to secure earlier advance payments on the </w:t>
                        </w:r>
                        <w:proofErr w:type="gramStart"/>
                        <w:r>
                          <w:rPr>
                            <w:rFonts w:ascii="Tahoma" w:eastAsia="Times New Roman" w:hAnsi="Tahoma" w:cs="Tahoma"/>
                            <w:color w:val="303030"/>
                            <w:sz w:val="21"/>
                            <w:szCs w:val="21"/>
                          </w:rPr>
                          <w:t>10th</w:t>
                        </w:r>
                        <w:proofErr w:type="gramEnd"/>
                        <w:r>
                          <w:rPr>
                            <w:rFonts w:ascii="Tahoma" w:eastAsia="Times New Roman" w:hAnsi="Tahoma" w:cs="Tahoma"/>
                            <w:color w:val="303030"/>
                            <w:sz w:val="21"/>
                            <w:szCs w:val="21"/>
                          </w:rPr>
                          <w:t xml:space="preserve"> March 2022, community pharmacy contractors are reminded of the requirement to submit FP34Cs through the Manage Your Service (MYS) portal by</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 xml:space="preserve">no later than the </w:t>
                        </w:r>
                        <w:r>
                          <w:rPr>
                            <w:rStyle w:val="Strong"/>
                            <w:rFonts w:ascii="Tahoma" w:eastAsia="Times New Roman" w:hAnsi="Tahoma" w:cs="Tahoma"/>
                            <w:color w:val="303030"/>
                            <w:sz w:val="21"/>
                            <w:szCs w:val="21"/>
                          </w:rPr>
                          <w:t>5th March 2022</w:t>
                        </w:r>
                        <w:r>
                          <w:rPr>
                            <w:rFonts w:ascii="Tahoma" w:eastAsia="Times New Roman" w:hAnsi="Tahoma" w:cs="Tahoma"/>
                            <w:color w:val="303030"/>
                            <w:sz w:val="21"/>
                            <w:szCs w:val="21"/>
                          </w:rPr>
                          <w:t xml:space="preserve">. </w:t>
                        </w:r>
                      </w:p>
                      <w:p w14:paraId="7538BF0C" w14:textId="77777777" w:rsidR="00724A29" w:rsidRDefault="00724A29" w:rsidP="00724A29">
                        <w:pPr>
                          <w:pStyle w:val="NormalWeb"/>
                          <w:spacing w:before="0" w:beforeAutospacing="0" w:after="0" w:afterAutospacing="0" w:line="264" w:lineRule="auto"/>
                          <w:rPr>
                            <w:rFonts w:ascii="Tahoma" w:hAnsi="Tahoma" w:cs="Tahoma"/>
                            <w:color w:val="303030"/>
                            <w:sz w:val="21"/>
                            <w:szCs w:val="21"/>
                          </w:rPr>
                        </w:pPr>
                      </w:p>
                      <w:p w14:paraId="290B6BFE" w14:textId="501CA026" w:rsidR="00724A29" w:rsidRDefault="00724A29" w:rsidP="00724A2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Once the FP34C is submitted electronically, contractors must print their completed submission document from MYS and enclose it with their monthly prescription bundle. Although a printout of the completed declaration needs to be included with the bundle, contractors should note that it is the figures declared within the MYS portal that will be used as their FP34C declaration.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w:t>
                          </w:r>
                        </w:hyperlink>
                      </w:p>
                      <w:p w14:paraId="363AC4B1"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B802CC">
                            <v:rect id="_x0000_i1035" style="width:468pt;height:1.5pt" o:hrstd="t" o:hr="t" fillcolor="#a0a0a0" stroked="f"/>
                          </w:pict>
                        </w:r>
                      </w:p>
                      <w:p w14:paraId="079896D7" w14:textId="77777777" w:rsidR="00724A29" w:rsidRDefault="00724A29" w:rsidP="00724A29">
                        <w:pPr>
                          <w:pStyle w:val="Heading3"/>
                          <w:spacing w:after="0"/>
                          <w:rPr>
                            <w:rFonts w:eastAsia="Times New Roman"/>
                          </w:rPr>
                        </w:pPr>
                        <w:r>
                          <w:rPr>
                            <w:rFonts w:eastAsia="Times New Roman"/>
                          </w:rPr>
                          <w:t>PQS updates </w:t>
                        </w:r>
                      </w:p>
                      <w:p w14:paraId="03DF7619" w14:textId="71988235" w:rsidR="00724A29" w:rsidRDefault="00724A29" w:rsidP="00724A29">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PQS declaration window closes soon</w:t>
                        </w:r>
                        <w:r>
                          <w:rPr>
                            <w:rFonts w:ascii="Tahoma" w:eastAsia="Times New Roman" w:hAnsi="Tahoma" w:cs="Tahoma"/>
                            <w:color w:val="303030"/>
                            <w:sz w:val="21"/>
                            <w:szCs w:val="21"/>
                          </w:rPr>
                          <w:br/>
                          <w:t>Over 7,200 contractors have already made their declaration for the 2021/22 Pharmacy Quality Scheme (PQS). For those that haven't, please note that the deadline is </w:t>
                        </w:r>
                        <w:r>
                          <w:rPr>
                            <w:rStyle w:val="Strong"/>
                            <w:rFonts w:ascii="Tahoma" w:eastAsia="Times New Roman" w:hAnsi="Tahoma" w:cs="Tahoma"/>
                            <w:color w:val="303030"/>
                            <w:sz w:val="21"/>
                            <w:szCs w:val="21"/>
                          </w:rPr>
                          <w:t>11.59pm this Wednesday (2nd March 2022)</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making a PQS declaration</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 xml:space="preserve">ESPAUR antibiotic checklist data published </w:t>
                        </w:r>
                        <w:r>
                          <w:rPr>
                            <w:rFonts w:ascii="Tahoma" w:eastAsia="Times New Roman" w:hAnsi="Tahoma" w:cs="Tahoma"/>
                            <w:color w:val="303030"/>
                            <w:sz w:val="21"/>
                            <w:szCs w:val="21"/>
                          </w:rPr>
                          <w:br/>
                          <w:t xml:space="preserve">Contractors can now use a spreadsheet from the English surveillance programme for </w:t>
                        </w:r>
                        <w:r>
                          <w:rPr>
                            <w:rFonts w:ascii="Tahoma" w:eastAsia="Times New Roman" w:hAnsi="Tahoma" w:cs="Tahoma"/>
                            <w:color w:val="303030"/>
                            <w:sz w:val="21"/>
                            <w:szCs w:val="21"/>
                          </w:rPr>
                          <w:lastRenderedPageBreak/>
                          <w:t xml:space="preserve">antimicrobial utilisation and resistance (ESPAUR) to help determine whether they meet the Prevention domain of the 2021/22 Pharmacy Quality Scheme (PQS).  </w:t>
                        </w:r>
                      </w:p>
                      <w:p w14:paraId="02C821DF" w14:textId="77777777" w:rsidR="00724A29" w:rsidRDefault="00724A29" w:rsidP="00724A29">
                        <w:pPr>
                          <w:spacing w:line="264" w:lineRule="auto"/>
                          <w:rPr>
                            <w:rFonts w:ascii="Tahoma" w:eastAsia="Times New Roman" w:hAnsi="Tahoma" w:cs="Tahoma"/>
                            <w:color w:val="303030"/>
                            <w:sz w:val="21"/>
                            <w:szCs w:val="21"/>
                          </w:rPr>
                        </w:pPr>
                      </w:p>
                      <w:p w14:paraId="2EC25534" w14:textId="77777777" w:rsidR="00724A29" w:rsidRDefault="00724A29" w:rsidP="00724A29">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View the antibiotic checklist data</w:t>
                          </w:r>
                        </w:hyperlink>
                      </w:p>
                      <w:p w14:paraId="704B879A"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501743">
                            <v:rect id="_x0000_i1036" style="width:468pt;height:1.5pt" o:hrstd="t" o:hr="t" fillcolor="#a0a0a0" stroked="f"/>
                          </w:pict>
                        </w:r>
                      </w:p>
                      <w:p w14:paraId="1C9E0560" w14:textId="77777777" w:rsidR="00724A29" w:rsidRDefault="00724A29" w:rsidP="00724A29">
                        <w:pPr>
                          <w:pStyle w:val="Heading3"/>
                          <w:spacing w:after="0"/>
                          <w:rPr>
                            <w:rFonts w:eastAsia="Times New Roman"/>
                          </w:rPr>
                        </w:pPr>
                        <w:r>
                          <w:rPr>
                            <w:rFonts w:eastAsia="Times New Roman"/>
                          </w:rPr>
                          <w:t>SSP014 reactivated</w:t>
                        </w:r>
                      </w:p>
                      <w:p w14:paraId="7540F309" w14:textId="1D06291F"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response to significant ongoing disruption to the supply of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500mg EN-Tabs, the Department of Health and Social Care (DHSC) has reactivated the Serious Shortage Protocol (SSP) for this product, SSP014. From today, SSP014 provides that for every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EN-Tabs 500mg tablet originally prescribed, one Sulfasalazine 500mg gastro-resistant (GR) tablet must be supplied. </w:t>
                        </w:r>
                      </w:p>
                      <w:p w14:paraId="1064442F" w14:textId="77777777" w:rsidR="00724A29" w:rsidRDefault="00724A29" w:rsidP="00724A29">
                        <w:pPr>
                          <w:spacing w:line="264" w:lineRule="auto"/>
                          <w:rPr>
                            <w:rFonts w:ascii="Tahoma" w:eastAsia="Times New Roman" w:hAnsi="Tahoma" w:cs="Tahoma"/>
                            <w:color w:val="303030"/>
                            <w:sz w:val="21"/>
                            <w:szCs w:val="21"/>
                          </w:rPr>
                        </w:pPr>
                      </w:p>
                      <w:p w14:paraId="57B8A531" w14:textId="77777777" w:rsidR="00724A29" w:rsidRDefault="00724A29" w:rsidP="00724A29">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 about SSP014</w:t>
                          </w:r>
                        </w:hyperlink>
                      </w:p>
                      <w:p w14:paraId="61A62BA1"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995D4D">
                            <v:rect id="_x0000_i1037" style="width:468pt;height:1.5pt" o:hrstd="t" o:hr="t" fillcolor="#a0a0a0" stroked="f"/>
                          </w:pict>
                        </w:r>
                      </w:p>
                      <w:p w14:paraId="3EE4AFBB" w14:textId="77777777" w:rsidR="00724A29" w:rsidRDefault="00724A29" w:rsidP="00724A29">
                        <w:pPr>
                          <w:pStyle w:val="Heading3"/>
                          <w:spacing w:after="0"/>
                          <w:rPr>
                            <w:rFonts w:eastAsia="Times New Roman"/>
                          </w:rPr>
                        </w:pPr>
                        <w:r>
                          <w:rPr>
                            <w:rFonts w:eastAsia="Times New Roman"/>
                          </w:rPr>
                          <w:t>Specials added to a new section of the Drug Tariff</w:t>
                        </w:r>
                      </w:p>
                      <w:p w14:paraId="66367684" w14:textId="77777777" w:rsidR="00724A29" w:rsidRDefault="00724A29" w:rsidP="00724A2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teams, that from March 2022, the Drug Tariff will include a new section, Part VIIID. This section will outline the payment arrangements for specials and imported unlicensed medicines (primarily unlicensed tablets/capsules) to be paid relative to a commonly identified pack size.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Read more about the changes to the Drug Tariff</w:t>
                          </w:r>
                        </w:hyperlink>
                      </w:p>
                    </w:tc>
                    <w:tc>
                      <w:tcPr>
                        <w:tcW w:w="150" w:type="dxa"/>
                        <w:vAlign w:val="center"/>
                        <w:hideMark/>
                      </w:tcPr>
                      <w:p w14:paraId="526DA122" w14:textId="77777777" w:rsidR="00724A29" w:rsidRDefault="00724A29">
                        <w:pPr>
                          <w:rPr>
                            <w:rFonts w:ascii="Tahoma" w:eastAsia="Times New Roman" w:hAnsi="Tahoma" w:cs="Tahoma"/>
                            <w:color w:val="303030"/>
                            <w:sz w:val="21"/>
                            <w:szCs w:val="21"/>
                          </w:rPr>
                        </w:pPr>
                      </w:p>
                    </w:tc>
                  </w:tr>
                  <w:tr w:rsidR="00724A29" w14:paraId="5750A54E" w14:textId="77777777">
                    <w:trPr>
                      <w:trHeight w:val="150"/>
                      <w:tblCellSpacing w:w="15" w:type="dxa"/>
                      <w:jc w:val="center"/>
                    </w:trPr>
                    <w:tc>
                      <w:tcPr>
                        <w:tcW w:w="150" w:type="dxa"/>
                        <w:vAlign w:val="center"/>
                        <w:hideMark/>
                      </w:tcPr>
                      <w:p w14:paraId="6501D39B" w14:textId="77777777" w:rsidR="00724A29" w:rsidRDefault="00724A29">
                        <w:pPr>
                          <w:rPr>
                            <w:rFonts w:ascii="Times New Roman" w:eastAsia="Times New Roman" w:hAnsi="Times New Roman" w:cs="Times New Roman"/>
                            <w:sz w:val="20"/>
                            <w:szCs w:val="20"/>
                          </w:rPr>
                        </w:pPr>
                      </w:p>
                    </w:tc>
                    <w:tc>
                      <w:tcPr>
                        <w:tcW w:w="8700" w:type="dxa"/>
                        <w:vAlign w:val="center"/>
                        <w:hideMark/>
                      </w:tcPr>
                      <w:p w14:paraId="121FBCCD" w14:textId="77777777" w:rsidR="00724A29" w:rsidRDefault="00724A29">
                        <w:pPr>
                          <w:rPr>
                            <w:rFonts w:ascii="Times New Roman" w:eastAsia="Times New Roman" w:hAnsi="Times New Roman" w:cs="Times New Roman"/>
                            <w:sz w:val="20"/>
                            <w:szCs w:val="20"/>
                          </w:rPr>
                        </w:pPr>
                      </w:p>
                    </w:tc>
                    <w:tc>
                      <w:tcPr>
                        <w:tcW w:w="150" w:type="dxa"/>
                        <w:vAlign w:val="center"/>
                        <w:hideMark/>
                      </w:tcPr>
                      <w:p w14:paraId="669AAFA1" w14:textId="77777777" w:rsidR="00724A29" w:rsidRDefault="00724A29">
                        <w:pPr>
                          <w:rPr>
                            <w:rFonts w:ascii="Times New Roman" w:eastAsia="Times New Roman" w:hAnsi="Times New Roman" w:cs="Times New Roman"/>
                            <w:sz w:val="20"/>
                            <w:szCs w:val="20"/>
                          </w:rPr>
                        </w:pPr>
                      </w:p>
                    </w:tc>
                  </w:tr>
                </w:tbl>
                <w:p w14:paraId="4BE277CE" w14:textId="77777777" w:rsidR="00724A29" w:rsidRDefault="00724A29">
                  <w:pPr>
                    <w:jc w:val="center"/>
                    <w:rPr>
                      <w:rFonts w:ascii="Times New Roman" w:eastAsia="Times New Roman" w:hAnsi="Times New Roman" w:cs="Times New Roman"/>
                      <w:sz w:val="20"/>
                      <w:szCs w:val="20"/>
                    </w:rPr>
                  </w:pPr>
                </w:p>
              </w:tc>
            </w:tr>
          </w:tbl>
          <w:p w14:paraId="04C9DF21" w14:textId="77777777" w:rsidR="00724A29" w:rsidRDefault="00724A29">
            <w:pPr>
              <w:jc w:val="center"/>
              <w:rPr>
                <w:rFonts w:ascii="Times New Roman" w:eastAsia="Times New Roman" w:hAnsi="Times New Roman" w:cs="Times New Roman"/>
                <w:sz w:val="20"/>
                <w:szCs w:val="20"/>
              </w:rPr>
            </w:pPr>
          </w:p>
        </w:tc>
      </w:tr>
      <w:tr w:rsidR="00724A29" w14:paraId="59DC3D74" w14:textId="77777777" w:rsidTr="00724A2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4A29" w14:paraId="5EFF9C9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24A29" w14:paraId="1145C590" w14:textId="77777777">
                    <w:trPr>
                      <w:tblCellSpacing w:w="0" w:type="dxa"/>
                      <w:jc w:val="center"/>
                    </w:trPr>
                    <w:tc>
                      <w:tcPr>
                        <w:tcW w:w="3000" w:type="dxa"/>
                        <w:tcMar>
                          <w:top w:w="30" w:type="dxa"/>
                          <w:left w:w="75" w:type="dxa"/>
                          <w:bottom w:w="30" w:type="dxa"/>
                          <w:right w:w="75" w:type="dxa"/>
                        </w:tcMar>
                        <w:hideMark/>
                      </w:tcPr>
                      <w:p w14:paraId="3DA41DD5" w14:textId="77777777" w:rsidR="00724A29" w:rsidRDefault="00724A29">
                        <w:pPr>
                          <w:pStyle w:val="Heading4"/>
                          <w:jc w:val="center"/>
                          <w:rPr>
                            <w:rFonts w:eastAsia="Times New Roman"/>
                          </w:rPr>
                        </w:pPr>
                        <w:r>
                          <w:rPr>
                            <w:rFonts w:eastAsia="Times New Roman"/>
                          </w:rPr>
                          <w:lastRenderedPageBreak/>
                          <w:t>Pharmaceutical Services Negotiating Committee</w:t>
                        </w:r>
                      </w:p>
                      <w:p w14:paraId="5C1946E0" w14:textId="70D107B1" w:rsidR="00724A29" w:rsidRDefault="00724A2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B9D2564" wp14:editId="72E25B2F">
                              <wp:extent cx="609600" cy="304800"/>
                              <wp:effectExtent l="0" t="0" r="0" b="0"/>
                              <wp:docPr id="5" name="Picture 5" descr="Graphical user interface&#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a:hlinkClick r:id="rId14" tgtFrame="_blank"/>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B06609" wp14:editId="123FA073">
                              <wp:extent cx="609600" cy="304800"/>
                              <wp:effectExtent l="0" t="0" r="0" b="0"/>
                              <wp:docPr id="4" name="Picture 4" descr="Graphical user interface&#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7" tgtFrame="_blank"/>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8475916" wp14:editId="5454A542">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4317775" wp14:editId="1F2EB605">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0C0D8B0" w14:textId="77777777" w:rsidR="00724A29" w:rsidRDefault="00724A2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24A29" w14:paraId="18E34042" w14:textId="77777777" w:rsidTr="00724A29">
                    <w:trPr>
                      <w:trHeight w:val="20"/>
                      <w:tblCellSpacing w:w="0" w:type="dxa"/>
                      <w:jc w:val="center"/>
                    </w:trPr>
                    <w:tc>
                      <w:tcPr>
                        <w:tcW w:w="9000" w:type="dxa"/>
                        <w:tcMar>
                          <w:top w:w="150" w:type="dxa"/>
                          <w:left w:w="0" w:type="dxa"/>
                          <w:bottom w:w="0" w:type="dxa"/>
                          <w:right w:w="0" w:type="dxa"/>
                        </w:tcMar>
                        <w:vAlign w:val="center"/>
                        <w:hideMark/>
                      </w:tcPr>
                      <w:p w14:paraId="3CB8CED3" w14:textId="3DD5C8F5" w:rsidR="00724A29" w:rsidRDefault="00724A29" w:rsidP="00724A29">
                        <w:pPr>
                          <w:rPr>
                            <w:rFonts w:ascii="Arial" w:eastAsia="Times New Roman" w:hAnsi="Arial" w:cs="Arial"/>
                            <w:color w:val="FFFFFF"/>
                            <w:sz w:val="17"/>
                            <w:szCs w:val="17"/>
                          </w:rPr>
                        </w:pPr>
                      </w:p>
                    </w:tc>
                  </w:tr>
                </w:tbl>
                <w:p w14:paraId="6124E204" w14:textId="77777777" w:rsidR="00724A29" w:rsidRDefault="00724A29">
                  <w:pPr>
                    <w:jc w:val="center"/>
                    <w:rPr>
                      <w:rFonts w:ascii="Times New Roman" w:eastAsia="Times New Roman" w:hAnsi="Times New Roman" w:cs="Times New Roman"/>
                      <w:sz w:val="20"/>
                      <w:szCs w:val="20"/>
                    </w:rPr>
                  </w:pPr>
                </w:p>
              </w:tc>
            </w:tr>
          </w:tbl>
          <w:p w14:paraId="0F26AD8A" w14:textId="77777777" w:rsidR="00724A29" w:rsidRDefault="00724A29">
            <w:pPr>
              <w:jc w:val="center"/>
              <w:rPr>
                <w:rFonts w:ascii="Times New Roman" w:eastAsia="Times New Roman" w:hAnsi="Times New Roman" w:cs="Times New Roman"/>
                <w:sz w:val="20"/>
                <w:szCs w:val="20"/>
              </w:rPr>
            </w:pPr>
          </w:p>
        </w:tc>
      </w:tr>
    </w:tbl>
    <w:p w14:paraId="712E7F6D" w14:textId="6D60578D" w:rsidR="00724A29" w:rsidRDefault="00724A29" w:rsidP="00724A29">
      <w:pPr>
        <w:rPr>
          <w:rFonts w:eastAsia="Times New Roman"/>
        </w:rPr>
      </w:pPr>
      <w:r>
        <w:rPr>
          <w:rFonts w:eastAsia="Times New Roman"/>
          <w:noProof/>
        </w:rPr>
        <w:drawing>
          <wp:inline distT="0" distB="0" distL="0" distR="0" wp14:anchorId="28C0B4DF" wp14:editId="68C51FC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255CA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29"/>
    <w:rsid w:val="00724A2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E2C5"/>
  <w15:chartTrackingRefBased/>
  <w15:docId w15:val="{770A2080-354B-46D0-AB1A-6104B392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29"/>
    <w:rPr>
      <w:rFonts w:ascii="Calibri" w:hAnsi="Calibri" w:cs="Calibri"/>
      <w:lang w:eastAsia="en-GB"/>
    </w:rPr>
  </w:style>
  <w:style w:type="paragraph" w:styleId="Heading1">
    <w:name w:val="heading 1"/>
    <w:basedOn w:val="Normal"/>
    <w:link w:val="Heading1Char"/>
    <w:uiPriority w:val="9"/>
    <w:qFormat/>
    <w:rsid w:val="00724A2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24A2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24A2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24A2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2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24A2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24A2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24A29"/>
    <w:rPr>
      <w:rFonts w:ascii="Tahoma" w:hAnsi="Tahoma" w:cs="Tahoma"/>
      <w:b/>
      <w:bCs/>
      <w:color w:val="FFFFFF"/>
      <w:sz w:val="18"/>
      <w:szCs w:val="18"/>
      <w:lang w:eastAsia="en-GB"/>
    </w:rPr>
  </w:style>
  <w:style w:type="paragraph" w:styleId="NormalWeb">
    <w:name w:val="Normal (Web)"/>
    <w:basedOn w:val="Normal"/>
    <w:uiPriority w:val="99"/>
    <w:semiHidden/>
    <w:unhideWhenUsed/>
    <w:rsid w:val="00724A29"/>
    <w:pPr>
      <w:spacing w:before="100" w:beforeAutospacing="1" w:after="100" w:afterAutospacing="1"/>
    </w:pPr>
  </w:style>
  <w:style w:type="character" w:styleId="Strong">
    <w:name w:val="Strong"/>
    <w:basedOn w:val="DefaultParagraphFont"/>
    <w:uiPriority w:val="22"/>
    <w:qFormat/>
    <w:rsid w:val="00724A29"/>
    <w:rPr>
      <w:b/>
      <w:bCs/>
    </w:rPr>
  </w:style>
  <w:style w:type="character" w:styleId="Hyperlink">
    <w:name w:val="Hyperlink"/>
    <w:basedOn w:val="DefaultParagraphFont"/>
    <w:uiPriority w:val="99"/>
    <w:semiHidden/>
    <w:unhideWhenUsed/>
    <w:rsid w:val="00724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eb196b270&amp;e=d19e9fd41c" TargetMode="External"/><Relationship Id="rId13" Type="http://schemas.openxmlformats.org/officeDocument/2006/relationships/hyperlink" Target="https://psnc.us7.list-manage.com/track/click?u=86d41ab7fa4c7c2c5d7210782&amp;id=2dc42b6aed&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dd1bff3b4&amp;e=d19e9fd41c" TargetMode="External"/><Relationship Id="rId17" Type="http://schemas.openxmlformats.org/officeDocument/2006/relationships/hyperlink" Target="https://psnc.us7.list-manage.com/track/click?u=86d41ab7fa4c7c2c5d7210782&amp;id=6a696ab88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adf4b1f9c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0b1690311&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543a8de62&amp;e=d19e9fd41c" TargetMode="External"/><Relationship Id="rId28" Type="http://schemas.openxmlformats.org/officeDocument/2006/relationships/image" Target="https://psnc.us7.list-manage.com/track/open.php?u=86d41ab7fa4c7c2c5d7210782&amp;id=7c98aefa3c&amp;e=d19e9fd41c" TargetMode="External"/><Relationship Id="rId10" Type="http://schemas.openxmlformats.org/officeDocument/2006/relationships/hyperlink" Target="https://psnc.us7.list-manage.com/track/click?u=86d41ab7fa4c7c2c5d7210782&amp;id=ceb93684c0&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266e00784&amp;e=d19e9fd41c" TargetMode="External"/><Relationship Id="rId14" Type="http://schemas.openxmlformats.org/officeDocument/2006/relationships/hyperlink" Target="https://psnc.us7.list-manage.com/track/click?u=86d41ab7fa4c7c2c5d7210782&amp;id=76c90e0147&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2022-03-01T08:08:00Z</dcterms:created>
  <dcterms:modified xsi:type="dcterms:W3CDTF">2022-03-01T08:10:00Z</dcterms:modified>
</cp:coreProperties>
</file>