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C15F7" w14:paraId="613D8030" w14:textId="77777777" w:rsidTr="007C15F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C15F7" w14:paraId="11FD4850"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C15F7" w14:paraId="63254CB8" w14:textId="77777777">
                    <w:trPr>
                      <w:tblCellSpacing w:w="0" w:type="dxa"/>
                      <w:jc w:val="center"/>
                    </w:trPr>
                    <w:tc>
                      <w:tcPr>
                        <w:tcW w:w="3000" w:type="dxa"/>
                        <w:hideMark/>
                      </w:tcPr>
                      <w:p w14:paraId="18933A03" w14:textId="148FD5A6" w:rsidR="007C15F7" w:rsidRDefault="007C15F7">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8FD2190" w14:textId="77777777" w:rsidR="007C15F7" w:rsidRDefault="007C15F7">
                  <w:pPr>
                    <w:jc w:val="center"/>
                    <w:rPr>
                      <w:rFonts w:ascii="Times New Roman" w:eastAsia="Times New Roman" w:hAnsi="Times New Roman" w:cs="Times New Roman"/>
                      <w:sz w:val="20"/>
                      <w:szCs w:val="20"/>
                    </w:rPr>
                  </w:pPr>
                </w:p>
              </w:tc>
            </w:tr>
            <w:tr w:rsidR="007C15F7" w14:paraId="39157D6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C15F7" w14:paraId="535E1D13"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751C2255" w14:textId="6A3DAC7A" w:rsidR="007C15F7" w:rsidRDefault="007C15F7">
                        <w:pPr>
                          <w:jc w:val="center"/>
                          <w:rPr>
                            <w:rFonts w:eastAsia="Times New Roman"/>
                          </w:rPr>
                        </w:pPr>
                        <w:r>
                          <w:rPr>
                            <w:rFonts w:eastAsia="Times New Roman"/>
                            <w:noProof/>
                          </w:rPr>
                          <w:drawing>
                            <wp:inline distT="0" distB="0" distL="0" distR="0" wp14:anchorId="3FD6C8C1" wp14:editId="1BFD94AF">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C15F7" w14:paraId="717A911F" w14:textId="77777777">
                    <w:trPr>
                      <w:tblCellSpacing w:w="0" w:type="dxa"/>
                    </w:trPr>
                    <w:tc>
                      <w:tcPr>
                        <w:tcW w:w="0" w:type="auto"/>
                        <w:vMerge/>
                        <w:tcBorders>
                          <w:top w:val="nil"/>
                          <w:left w:val="nil"/>
                          <w:bottom w:val="single" w:sz="2" w:space="0" w:color="FFFFFF"/>
                          <w:right w:val="nil"/>
                        </w:tcBorders>
                        <w:vAlign w:val="center"/>
                        <w:hideMark/>
                      </w:tcPr>
                      <w:p w14:paraId="5C8E4807" w14:textId="77777777" w:rsidR="007C15F7" w:rsidRDefault="007C15F7">
                        <w:pPr>
                          <w:rPr>
                            <w:rFonts w:eastAsia="Times New Roman"/>
                          </w:rPr>
                        </w:pPr>
                      </w:p>
                    </w:tc>
                    <w:tc>
                      <w:tcPr>
                        <w:tcW w:w="3450" w:type="dxa"/>
                        <w:tcBorders>
                          <w:top w:val="nil"/>
                          <w:left w:val="nil"/>
                          <w:bottom w:val="nil"/>
                          <w:right w:val="nil"/>
                        </w:tcBorders>
                        <w:vAlign w:val="center"/>
                        <w:hideMark/>
                      </w:tcPr>
                      <w:p w14:paraId="596E247C" w14:textId="77777777" w:rsidR="007C15F7" w:rsidRDefault="007C15F7">
                        <w:pPr>
                          <w:pStyle w:val="Heading1"/>
                          <w:rPr>
                            <w:rFonts w:eastAsia="Times New Roman"/>
                          </w:rPr>
                        </w:pPr>
                        <w:r>
                          <w:rPr>
                            <w:rFonts w:eastAsia="Times New Roman"/>
                          </w:rPr>
                          <w:t>PSNC Newsletter</w:t>
                        </w:r>
                      </w:p>
                    </w:tc>
                  </w:tr>
                  <w:tr w:rsidR="007C15F7" w14:paraId="3B8FA88F" w14:textId="77777777">
                    <w:trPr>
                      <w:tblCellSpacing w:w="0" w:type="dxa"/>
                    </w:trPr>
                    <w:tc>
                      <w:tcPr>
                        <w:tcW w:w="0" w:type="auto"/>
                        <w:vMerge/>
                        <w:tcBorders>
                          <w:top w:val="nil"/>
                          <w:left w:val="nil"/>
                          <w:bottom w:val="single" w:sz="2" w:space="0" w:color="FFFFFF"/>
                          <w:right w:val="nil"/>
                        </w:tcBorders>
                        <w:vAlign w:val="center"/>
                        <w:hideMark/>
                      </w:tcPr>
                      <w:p w14:paraId="061E3792" w14:textId="77777777" w:rsidR="007C15F7" w:rsidRDefault="007C15F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0467F54" w14:textId="77777777" w:rsidR="007C15F7" w:rsidRDefault="007C15F7">
                        <w:pPr>
                          <w:pStyle w:val="Heading2"/>
                          <w:rPr>
                            <w:rFonts w:eastAsia="Times New Roman"/>
                            <w:color w:val="93378A"/>
                          </w:rPr>
                        </w:pPr>
                        <w:r>
                          <w:rPr>
                            <w:rFonts w:eastAsia="Times New Roman"/>
                            <w:color w:val="93378A"/>
                          </w:rPr>
                          <w:t>Wednesday 2nd March 2022</w:t>
                        </w:r>
                      </w:p>
                    </w:tc>
                  </w:tr>
                </w:tbl>
                <w:p w14:paraId="11425722" w14:textId="77777777" w:rsidR="007C15F7" w:rsidRDefault="007C15F7">
                  <w:pPr>
                    <w:rPr>
                      <w:rFonts w:ascii="Times New Roman" w:eastAsia="Times New Roman" w:hAnsi="Times New Roman" w:cs="Times New Roman"/>
                      <w:sz w:val="20"/>
                      <w:szCs w:val="20"/>
                    </w:rPr>
                  </w:pPr>
                </w:p>
              </w:tc>
            </w:tr>
            <w:tr w:rsidR="007C15F7" w14:paraId="79834E6A" w14:textId="77777777">
              <w:tblPrEx>
                <w:shd w:val="clear" w:color="auto" w:fill="auto"/>
              </w:tblPrEx>
              <w:trPr>
                <w:tblCellSpacing w:w="0" w:type="dxa"/>
                <w:jc w:val="center"/>
              </w:trPr>
              <w:tc>
                <w:tcPr>
                  <w:tcW w:w="9000" w:type="dxa"/>
                  <w:hideMark/>
                </w:tcPr>
                <w:p w14:paraId="0877DDC4" w14:textId="7290ACC5" w:rsidR="007C15F7" w:rsidRDefault="007C15F7">
                  <w:pPr>
                    <w:rPr>
                      <w:rFonts w:eastAsia="Times New Roman"/>
                    </w:rPr>
                  </w:pPr>
                  <w:r>
                    <w:rPr>
                      <w:rFonts w:eastAsia="Times New Roman"/>
                      <w:noProof/>
                    </w:rPr>
                    <w:drawing>
                      <wp:inline distT="0" distB="0" distL="0" distR="0" wp14:anchorId="2DE06F3A" wp14:editId="77CF9B9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C15F7" w14:paraId="07F964B5"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7C15F7" w14:paraId="2446AB55" w14:textId="77777777">
                    <w:trPr>
                      <w:trHeight w:val="150"/>
                      <w:tblCellSpacing w:w="15" w:type="dxa"/>
                      <w:jc w:val="center"/>
                    </w:trPr>
                    <w:tc>
                      <w:tcPr>
                        <w:tcW w:w="150" w:type="dxa"/>
                        <w:vAlign w:val="center"/>
                        <w:hideMark/>
                      </w:tcPr>
                      <w:p w14:paraId="3D642AC6" w14:textId="77777777" w:rsidR="007C15F7" w:rsidRDefault="007C15F7">
                        <w:pPr>
                          <w:rPr>
                            <w:rFonts w:eastAsia="Times New Roman"/>
                          </w:rPr>
                        </w:pPr>
                      </w:p>
                    </w:tc>
                    <w:tc>
                      <w:tcPr>
                        <w:tcW w:w="8700" w:type="dxa"/>
                        <w:vAlign w:val="center"/>
                        <w:hideMark/>
                      </w:tcPr>
                      <w:p w14:paraId="46C9C7EB" w14:textId="77777777" w:rsidR="007C15F7" w:rsidRDefault="007C15F7">
                        <w:pPr>
                          <w:rPr>
                            <w:rFonts w:ascii="Times New Roman" w:eastAsia="Times New Roman" w:hAnsi="Times New Roman" w:cs="Times New Roman"/>
                            <w:sz w:val="20"/>
                            <w:szCs w:val="20"/>
                          </w:rPr>
                        </w:pPr>
                      </w:p>
                    </w:tc>
                    <w:tc>
                      <w:tcPr>
                        <w:tcW w:w="150" w:type="dxa"/>
                        <w:vAlign w:val="center"/>
                        <w:hideMark/>
                      </w:tcPr>
                      <w:p w14:paraId="460761FB" w14:textId="77777777" w:rsidR="007C15F7" w:rsidRDefault="007C15F7">
                        <w:pPr>
                          <w:rPr>
                            <w:rFonts w:ascii="Times New Roman" w:eastAsia="Times New Roman" w:hAnsi="Times New Roman" w:cs="Times New Roman"/>
                            <w:sz w:val="20"/>
                            <w:szCs w:val="20"/>
                          </w:rPr>
                        </w:pPr>
                      </w:p>
                    </w:tc>
                  </w:tr>
                  <w:tr w:rsidR="007C15F7" w14:paraId="30137704" w14:textId="77777777">
                    <w:trPr>
                      <w:tblCellSpacing w:w="15" w:type="dxa"/>
                      <w:jc w:val="center"/>
                    </w:trPr>
                    <w:tc>
                      <w:tcPr>
                        <w:tcW w:w="150" w:type="dxa"/>
                        <w:vAlign w:val="center"/>
                        <w:hideMark/>
                      </w:tcPr>
                      <w:p w14:paraId="4627AADA" w14:textId="77777777" w:rsidR="007C15F7" w:rsidRDefault="007C15F7">
                        <w:pPr>
                          <w:rPr>
                            <w:rFonts w:ascii="Times New Roman" w:eastAsia="Times New Roman" w:hAnsi="Times New Roman" w:cs="Times New Roman"/>
                            <w:sz w:val="20"/>
                            <w:szCs w:val="20"/>
                          </w:rPr>
                        </w:pPr>
                      </w:p>
                    </w:tc>
                    <w:tc>
                      <w:tcPr>
                        <w:tcW w:w="8700" w:type="dxa"/>
                        <w:vAlign w:val="center"/>
                        <w:hideMark/>
                      </w:tcPr>
                      <w:p w14:paraId="7AD25844" w14:textId="77777777" w:rsidR="007C15F7" w:rsidRDefault="007C15F7">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2911832" w14:textId="77777777" w:rsidR="007C15F7" w:rsidRDefault="007C15F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617D91E">
                            <v:rect id="_x0000_i1032" style="width:468pt;height:1.5pt" o:hralign="center" o:hrstd="t" o:hr="t" fillcolor="#a0a0a0" stroked="f"/>
                          </w:pict>
                        </w:r>
                      </w:p>
                      <w:p w14:paraId="435A1ACB" w14:textId="79983F27" w:rsidR="007C15F7" w:rsidRDefault="007C15F7">
                        <w:pPr>
                          <w:pStyle w:val="Heading2"/>
                          <w:rPr>
                            <w:rFonts w:eastAsia="Times New Roman"/>
                          </w:rPr>
                        </w:pPr>
                        <w:r>
                          <w:rPr>
                            <w:rFonts w:eastAsia="Times New Roman"/>
                          </w:rPr>
                          <w:t>In this update: NHSE&amp;I letter on flu vacs for 2022/23 published; quit smoking campaign materials; please take part in Advice Audit.</w:t>
                        </w:r>
                      </w:p>
                      <w:p w14:paraId="72C2B57C" w14:textId="77777777" w:rsidR="007C15F7" w:rsidRDefault="007C15F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BF10D98">
                            <v:rect id="_x0000_i1033" style="width:468pt;height:1.5pt" o:hralign="center" o:hrstd="t" o:hr="t" fillcolor="#a0a0a0" stroked="f"/>
                          </w:pict>
                        </w:r>
                      </w:p>
                      <w:p w14:paraId="32B94AC9" w14:textId="77777777" w:rsidR="007C15F7" w:rsidRDefault="007C15F7" w:rsidP="007C15F7">
                        <w:pPr>
                          <w:pStyle w:val="Heading2"/>
                          <w:spacing w:after="0"/>
                          <w:rPr>
                            <w:rFonts w:eastAsia="Times New Roman"/>
                          </w:rPr>
                        </w:pPr>
                        <w:r>
                          <w:rPr>
                            <w:rFonts w:eastAsia="Times New Roman"/>
                          </w:rPr>
                          <w:t>NHSE&amp;I letter on flu vaccines for 2022/23</w:t>
                        </w:r>
                      </w:p>
                      <w:p w14:paraId="0976DADD" w14:textId="5CA7F37C" w:rsidR="007C15F7" w:rsidRDefault="007C15F7" w:rsidP="007C15F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 England and NHS Improvement (NHSE&amp;I) has today (2nd March 2022) published their flu vaccination reimbursement letter for the 2022/23 season. The letter provides information on the flu vaccines which will be reimbursable under the 2022/23 Community Pharmacy Seasonal Influenza Vaccination Advanced Service, for the two cohorts (65 years and over and at-risk adults aged 18-64). </w:t>
                        </w:r>
                      </w:p>
                      <w:p w14:paraId="1B24734D" w14:textId="77777777" w:rsidR="007C15F7" w:rsidRDefault="007C15F7" w:rsidP="007C15F7">
                        <w:pPr>
                          <w:spacing w:line="264" w:lineRule="auto"/>
                          <w:rPr>
                            <w:rFonts w:ascii="Tahoma" w:eastAsia="Times New Roman" w:hAnsi="Tahoma" w:cs="Tahoma"/>
                            <w:color w:val="303030"/>
                            <w:sz w:val="21"/>
                            <w:szCs w:val="21"/>
                          </w:rPr>
                        </w:pPr>
                      </w:p>
                      <w:p w14:paraId="2FB6FB98" w14:textId="77777777" w:rsidR="007C15F7" w:rsidRDefault="007C15F7" w:rsidP="007C15F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letter also highlights that in 2022/23, the NHS flu vaccination programme will only be offered to patient groups eligible in line with </w:t>
                        </w:r>
                        <w:r>
                          <w:rPr>
                            <w:rStyle w:val="Strong"/>
                            <w:rFonts w:ascii="Tahoma" w:hAnsi="Tahoma" w:cs="Tahoma"/>
                            <w:color w:val="303030"/>
                            <w:sz w:val="21"/>
                            <w:szCs w:val="21"/>
                          </w:rPr>
                          <w:t>pre-pandemic</w:t>
                        </w:r>
                        <w:r>
                          <w:rPr>
                            <w:rFonts w:ascii="Tahoma" w:hAnsi="Tahoma" w:cs="Tahoma"/>
                            <w:color w:val="303030"/>
                            <w:sz w:val="21"/>
                            <w:szCs w:val="21"/>
                          </w:rPr>
                          <w:t> recommendations.</w:t>
                        </w:r>
                      </w:p>
                      <w:p w14:paraId="138D89C9" w14:textId="77777777" w:rsidR="007C15F7" w:rsidRDefault="007C15F7" w:rsidP="007C15F7">
                        <w:pPr>
                          <w:spacing w:line="264" w:lineRule="auto"/>
                          <w:rPr>
                            <w:rFonts w:ascii="Tahoma" w:eastAsia="Times New Roman" w:hAnsi="Tahoma" w:cs="Tahoma"/>
                            <w:color w:val="303030"/>
                            <w:sz w:val="21"/>
                            <w:szCs w:val="21"/>
                          </w:rPr>
                        </w:pPr>
                      </w:p>
                      <w:p w14:paraId="2E8D27BB" w14:textId="41F0CC4F" w:rsidR="007C15F7" w:rsidRPr="007C15F7" w:rsidRDefault="007C15F7" w:rsidP="007C15F7">
                        <w:pPr>
                          <w:spacing w:line="264" w:lineRule="auto"/>
                          <w:rPr>
                            <w:rFonts w:ascii="Tahoma" w:eastAsia="Times New Roman" w:hAnsi="Tahoma" w:cs="Tahoma"/>
                            <w:color w:val="303030"/>
                            <w:sz w:val="21"/>
                            <w:szCs w:val="21"/>
                          </w:rPr>
                        </w:pPr>
                        <w:hyperlink r:id="rId8"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783A0573" w14:textId="77777777" w:rsidR="007C15F7" w:rsidRDefault="007C15F7" w:rsidP="007C15F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9F98C2C">
                            <v:rect id="_x0000_i1035" style="width:468pt;height:1.5pt" o:hrstd="t" o:hr="t" fillcolor="#a0a0a0" stroked="f"/>
                          </w:pict>
                        </w:r>
                      </w:p>
                      <w:p w14:paraId="64F008C8" w14:textId="77777777" w:rsidR="007C15F7" w:rsidRDefault="007C15F7" w:rsidP="007C15F7">
                        <w:pPr>
                          <w:pStyle w:val="Heading2"/>
                          <w:spacing w:after="0"/>
                          <w:rPr>
                            <w:rFonts w:eastAsia="Times New Roman"/>
                          </w:rPr>
                        </w:pPr>
                        <w:r>
                          <w:rPr>
                            <w:rFonts w:eastAsia="Times New Roman"/>
                          </w:rPr>
                          <w:t>Have you received your quit smoking campaign materials?</w:t>
                        </w:r>
                      </w:p>
                      <w:p w14:paraId="678DD22C" w14:textId="4DDAC006" w:rsidR="007C15F7" w:rsidRDefault="007C15F7" w:rsidP="007C15F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should have by now received the campaign materials to participate in the mandated quit smoking health campaign.</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Contractors that have not yet received their campaign materials should email </w:t>
                        </w:r>
                        <w:hyperlink r:id="rId9" w:history="1">
                          <w:r>
                            <w:rPr>
                              <w:rStyle w:val="Hyperlink"/>
                              <w:rFonts w:ascii="Tahoma" w:eastAsia="Times New Roman" w:hAnsi="Tahoma" w:cs="Tahoma"/>
                              <w:b/>
                              <w:bCs/>
                              <w:color w:val="4E3487"/>
                              <w:sz w:val="21"/>
                              <w:szCs w:val="21"/>
                            </w:rPr>
                            <w:t>partnerships@phe.gov.uk</w:t>
                          </w:r>
                        </w:hyperlink>
                        <w:r>
                          <w:rPr>
                            <w:rFonts w:ascii="Tahoma" w:eastAsia="Times New Roman" w:hAnsi="Tahoma" w:cs="Tahoma"/>
                            <w:color w:val="303030"/>
                            <w:sz w:val="21"/>
                            <w:szCs w:val="21"/>
                          </w:rPr>
                          <w:t> with ‘Quit Smoking Pharmacy Packs’ in the subject line and their pharmacy name and full address in the email.</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more about the quit smoking campaign</w:t>
                          </w:r>
                        </w:hyperlink>
                        <w:r>
                          <w:rPr>
                            <w:rFonts w:ascii="Tahoma" w:eastAsia="Times New Roman" w:hAnsi="Tahoma" w:cs="Tahoma"/>
                            <w:color w:val="303030"/>
                            <w:sz w:val="21"/>
                            <w:szCs w:val="21"/>
                          </w:rPr>
                          <w:t xml:space="preserve"> </w:t>
                        </w:r>
                      </w:p>
                      <w:p w14:paraId="46C4C2F1" w14:textId="77777777" w:rsidR="007C15F7" w:rsidRDefault="007C15F7" w:rsidP="007C15F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583614F">
                            <v:rect id="_x0000_i1036" style="width:468pt;height:1.5pt" o:hrstd="t" o:hr="t" fillcolor="#a0a0a0" stroked="f"/>
                          </w:pict>
                        </w:r>
                      </w:p>
                      <w:p w14:paraId="0577730B" w14:textId="77777777" w:rsidR="007C15F7" w:rsidRDefault="007C15F7" w:rsidP="007C15F7">
                        <w:pPr>
                          <w:pStyle w:val="Heading2"/>
                          <w:spacing w:after="0"/>
                          <w:rPr>
                            <w:rFonts w:eastAsia="Times New Roman"/>
                          </w:rPr>
                        </w:pPr>
                        <w:r>
                          <w:rPr>
                            <w:rFonts w:eastAsia="Times New Roman"/>
                          </w:rPr>
                          <w:t>Please help with our Pharmacy Advice Audit</w:t>
                        </w:r>
                      </w:p>
                      <w:p w14:paraId="52851827" w14:textId="5C059167" w:rsidR="007C15F7" w:rsidRDefault="007C15F7" w:rsidP="007C15F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deadline to complete the 2022 Pharmacy Advice Audit is Friday 11th March 2022, so there is still time to take part and submit your data.</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Your involvement will provide critical evidence for use in PSNC's funding discussions with HM Government and the NHS. We need as many pharmacy teams as possible to take part and this is your chance to have a direct impact on the case being made for community </w:t>
                        </w:r>
                        <w:r>
                          <w:rPr>
                            <w:rFonts w:ascii="Tahoma" w:eastAsia="Times New Roman" w:hAnsi="Tahoma" w:cs="Tahoma"/>
                            <w:color w:val="303030"/>
                            <w:sz w:val="21"/>
                            <w:szCs w:val="21"/>
                          </w:rPr>
                          <w:lastRenderedPageBreak/>
                          <w:t>pharmacy.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Find out more about PSNC's Advice Audit</w:t>
                          </w:r>
                        </w:hyperlink>
                        <w:r>
                          <w:rPr>
                            <w:rFonts w:ascii="Tahoma" w:eastAsia="Times New Roman" w:hAnsi="Tahoma" w:cs="Tahoma"/>
                            <w:color w:val="303030"/>
                            <w:sz w:val="21"/>
                            <w:szCs w:val="21"/>
                          </w:rPr>
                          <w:br/>
                          <w:t> </w:t>
                        </w:r>
                      </w:p>
                    </w:tc>
                    <w:tc>
                      <w:tcPr>
                        <w:tcW w:w="150" w:type="dxa"/>
                        <w:vAlign w:val="center"/>
                        <w:hideMark/>
                      </w:tcPr>
                      <w:p w14:paraId="56FC81FC" w14:textId="77777777" w:rsidR="007C15F7" w:rsidRDefault="007C15F7">
                        <w:pPr>
                          <w:rPr>
                            <w:rFonts w:ascii="Tahoma" w:eastAsia="Times New Roman" w:hAnsi="Tahoma" w:cs="Tahoma"/>
                            <w:color w:val="303030"/>
                            <w:sz w:val="21"/>
                            <w:szCs w:val="21"/>
                          </w:rPr>
                        </w:pPr>
                      </w:p>
                    </w:tc>
                  </w:tr>
                  <w:tr w:rsidR="007C15F7" w14:paraId="521332EB" w14:textId="77777777">
                    <w:trPr>
                      <w:trHeight w:val="150"/>
                      <w:tblCellSpacing w:w="15" w:type="dxa"/>
                      <w:jc w:val="center"/>
                    </w:trPr>
                    <w:tc>
                      <w:tcPr>
                        <w:tcW w:w="150" w:type="dxa"/>
                        <w:vAlign w:val="center"/>
                        <w:hideMark/>
                      </w:tcPr>
                      <w:p w14:paraId="75C99F74" w14:textId="77777777" w:rsidR="007C15F7" w:rsidRDefault="007C15F7">
                        <w:pPr>
                          <w:rPr>
                            <w:rFonts w:ascii="Times New Roman" w:eastAsia="Times New Roman" w:hAnsi="Times New Roman" w:cs="Times New Roman"/>
                            <w:sz w:val="20"/>
                            <w:szCs w:val="20"/>
                          </w:rPr>
                        </w:pPr>
                      </w:p>
                    </w:tc>
                    <w:tc>
                      <w:tcPr>
                        <w:tcW w:w="8700" w:type="dxa"/>
                        <w:vAlign w:val="center"/>
                        <w:hideMark/>
                      </w:tcPr>
                      <w:p w14:paraId="52F71E86" w14:textId="77777777" w:rsidR="007C15F7" w:rsidRDefault="007C15F7">
                        <w:pPr>
                          <w:rPr>
                            <w:rFonts w:ascii="Times New Roman" w:eastAsia="Times New Roman" w:hAnsi="Times New Roman" w:cs="Times New Roman"/>
                            <w:sz w:val="20"/>
                            <w:szCs w:val="20"/>
                          </w:rPr>
                        </w:pPr>
                      </w:p>
                    </w:tc>
                    <w:tc>
                      <w:tcPr>
                        <w:tcW w:w="150" w:type="dxa"/>
                        <w:vAlign w:val="center"/>
                        <w:hideMark/>
                      </w:tcPr>
                      <w:p w14:paraId="6D5ADE68" w14:textId="77777777" w:rsidR="007C15F7" w:rsidRDefault="007C15F7">
                        <w:pPr>
                          <w:rPr>
                            <w:rFonts w:ascii="Times New Roman" w:eastAsia="Times New Roman" w:hAnsi="Times New Roman" w:cs="Times New Roman"/>
                            <w:sz w:val="20"/>
                            <w:szCs w:val="20"/>
                          </w:rPr>
                        </w:pPr>
                      </w:p>
                    </w:tc>
                  </w:tr>
                </w:tbl>
                <w:p w14:paraId="45953404" w14:textId="77777777" w:rsidR="007C15F7" w:rsidRDefault="007C15F7">
                  <w:pPr>
                    <w:jc w:val="center"/>
                    <w:rPr>
                      <w:rFonts w:ascii="Times New Roman" w:eastAsia="Times New Roman" w:hAnsi="Times New Roman" w:cs="Times New Roman"/>
                      <w:sz w:val="20"/>
                      <w:szCs w:val="20"/>
                    </w:rPr>
                  </w:pPr>
                </w:p>
              </w:tc>
            </w:tr>
          </w:tbl>
          <w:p w14:paraId="059932C6" w14:textId="77777777" w:rsidR="007C15F7" w:rsidRDefault="007C15F7">
            <w:pPr>
              <w:jc w:val="center"/>
              <w:rPr>
                <w:rFonts w:ascii="Times New Roman" w:eastAsia="Times New Roman" w:hAnsi="Times New Roman" w:cs="Times New Roman"/>
                <w:sz w:val="20"/>
                <w:szCs w:val="20"/>
              </w:rPr>
            </w:pPr>
          </w:p>
        </w:tc>
      </w:tr>
      <w:tr w:rsidR="007C15F7" w14:paraId="40629ABD" w14:textId="77777777" w:rsidTr="007C15F7">
        <w:trPr>
          <w:trHeight w:val="1655"/>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C15F7" w14:paraId="2A3385B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C15F7" w14:paraId="3792DA38" w14:textId="77777777">
                    <w:trPr>
                      <w:tblCellSpacing w:w="0" w:type="dxa"/>
                      <w:jc w:val="center"/>
                    </w:trPr>
                    <w:tc>
                      <w:tcPr>
                        <w:tcW w:w="3000" w:type="dxa"/>
                        <w:tcMar>
                          <w:top w:w="30" w:type="dxa"/>
                          <w:left w:w="75" w:type="dxa"/>
                          <w:bottom w:w="30" w:type="dxa"/>
                          <w:right w:w="75" w:type="dxa"/>
                        </w:tcMar>
                        <w:hideMark/>
                      </w:tcPr>
                      <w:p w14:paraId="0F6B9C5D" w14:textId="77777777" w:rsidR="007C15F7" w:rsidRDefault="007C15F7">
                        <w:pPr>
                          <w:pStyle w:val="Heading4"/>
                          <w:jc w:val="center"/>
                          <w:rPr>
                            <w:rFonts w:eastAsia="Times New Roman"/>
                          </w:rPr>
                        </w:pPr>
                        <w:r>
                          <w:rPr>
                            <w:rFonts w:eastAsia="Times New Roman"/>
                          </w:rPr>
                          <w:lastRenderedPageBreak/>
                          <w:t>Pharmaceutical Services Negotiating Committee</w:t>
                        </w:r>
                      </w:p>
                      <w:p w14:paraId="2E5A56FB" w14:textId="5BB40E44" w:rsidR="007C15F7" w:rsidRDefault="007C15F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C38C7B3" wp14:editId="797369F0">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951FA1D" wp14:editId="0082618D">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8F50D72" wp14:editId="1881EFD2">
                              <wp:extent cx="609600" cy="304800"/>
                              <wp:effectExtent l="0" t="0" r="0" b="0"/>
                              <wp:docPr id="3" name="Picture 3"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C1178E6" wp14:editId="17D14CFE">
                              <wp:extent cx="609600" cy="304800"/>
                              <wp:effectExtent l="0" t="0" r="0" b="0"/>
                              <wp:docPr id="2" name="Picture 2"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AC7A1B1" w14:textId="77777777" w:rsidR="007C15F7" w:rsidRDefault="007C15F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C15F7" w14:paraId="4A89A067" w14:textId="77777777" w:rsidTr="007C15F7">
                    <w:trPr>
                      <w:trHeight w:val="191"/>
                      <w:tblCellSpacing w:w="0" w:type="dxa"/>
                      <w:jc w:val="center"/>
                    </w:trPr>
                    <w:tc>
                      <w:tcPr>
                        <w:tcW w:w="9000" w:type="dxa"/>
                        <w:tcMar>
                          <w:top w:w="150" w:type="dxa"/>
                          <w:left w:w="0" w:type="dxa"/>
                          <w:bottom w:w="0" w:type="dxa"/>
                          <w:right w:w="0" w:type="dxa"/>
                        </w:tcMar>
                        <w:vAlign w:val="center"/>
                        <w:hideMark/>
                      </w:tcPr>
                      <w:p w14:paraId="17CA64CC" w14:textId="69F678BF" w:rsidR="007C15F7" w:rsidRDefault="007C15F7" w:rsidP="007C15F7">
                        <w:pPr>
                          <w:rPr>
                            <w:rFonts w:ascii="Arial" w:eastAsia="Times New Roman" w:hAnsi="Arial" w:cs="Arial"/>
                            <w:color w:val="FFFFFF"/>
                            <w:sz w:val="17"/>
                            <w:szCs w:val="17"/>
                          </w:rPr>
                        </w:pPr>
                      </w:p>
                    </w:tc>
                  </w:tr>
                </w:tbl>
                <w:p w14:paraId="1CDB7566" w14:textId="77777777" w:rsidR="007C15F7" w:rsidRDefault="007C15F7">
                  <w:pPr>
                    <w:jc w:val="center"/>
                    <w:rPr>
                      <w:rFonts w:ascii="Times New Roman" w:eastAsia="Times New Roman" w:hAnsi="Times New Roman" w:cs="Times New Roman"/>
                      <w:sz w:val="20"/>
                      <w:szCs w:val="20"/>
                    </w:rPr>
                  </w:pPr>
                </w:p>
              </w:tc>
            </w:tr>
          </w:tbl>
          <w:p w14:paraId="159CEDFC" w14:textId="77777777" w:rsidR="007C15F7" w:rsidRDefault="007C15F7">
            <w:pPr>
              <w:jc w:val="center"/>
              <w:rPr>
                <w:rFonts w:ascii="Times New Roman" w:eastAsia="Times New Roman" w:hAnsi="Times New Roman" w:cs="Times New Roman"/>
                <w:sz w:val="20"/>
                <w:szCs w:val="20"/>
              </w:rPr>
            </w:pPr>
          </w:p>
        </w:tc>
      </w:tr>
    </w:tbl>
    <w:p w14:paraId="21D7155C" w14:textId="66330EA9" w:rsidR="007C15F7" w:rsidRDefault="007C15F7" w:rsidP="007C15F7">
      <w:pPr>
        <w:rPr>
          <w:rFonts w:eastAsia="Times New Roman"/>
        </w:rPr>
      </w:pPr>
      <w:r>
        <w:rPr>
          <w:rFonts w:eastAsia="Times New Roman"/>
          <w:noProof/>
        </w:rPr>
        <w:drawing>
          <wp:inline distT="0" distB="0" distL="0" distR="0" wp14:anchorId="0557E906" wp14:editId="3593125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63A925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F7"/>
    <w:rsid w:val="007C15F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C160"/>
  <w15:chartTrackingRefBased/>
  <w15:docId w15:val="{DA26B993-E836-4FEB-A02C-DDE45F5E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5F7"/>
    <w:rPr>
      <w:rFonts w:ascii="Calibri" w:hAnsi="Calibri" w:cs="Calibri"/>
      <w:lang w:eastAsia="en-GB"/>
    </w:rPr>
  </w:style>
  <w:style w:type="paragraph" w:styleId="Heading1">
    <w:name w:val="heading 1"/>
    <w:basedOn w:val="Normal"/>
    <w:link w:val="Heading1Char"/>
    <w:uiPriority w:val="9"/>
    <w:qFormat/>
    <w:rsid w:val="007C15F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unhideWhenUsed/>
    <w:qFormat/>
    <w:rsid w:val="007C15F7"/>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7C15F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5F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rsid w:val="007C15F7"/>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7C15F7"/>
    <w:rPr>
      <w:rFonts w:ascii="Tahoma" w:hAnsi="Tahoma" w:cs="Tahoma"/>
      <w:b/>
      <w:bCs/>
      <w:color w:val="FFFFFF"/>
      <w:sz w:val="18"/>
      <w:szCs w:val="18"/>
      <w:lang w:eastAsia="en-GB"/>
    </w:rPr>
  </w:style>
  <w:style w:type="paragraph" w:styleId="NormalWeb">
    <w:name w:val="Normal (Web)"/>
    <w:basedOn w:val="Normal"/>
    <w:uiPriority w:val="99"/>
    <w:semiHidden/>
    <w:unhideWhenUsed/>
    <w:rsid w:val="007C15F7"/>
    <w:pPr>
      <w:spacing w:before="100" w:beforeAutospacing="1" w:after="100" w:afterAutospacing="1"/>
    </w:pPr>
  </w:style>
  <w:style w:type="character" w:styleId="Strong">
    <w:name w:val="Strong"/>
    <w:basedOn w:val="DefaultParagraphFont"/>
    <w:uiPriority w:val="22"/>
    <w:qFormat/>
    <w:rsid w:val="007C15F7"/>
    <w:rPr>
      <w:b/>
      <w:bCs/>
    </w:rPr>
  </w:style>
  <w:style w:type="character" w:styleId="Hyperlink">
    <w:name w:val="Hyperlink"/>
    <w:basedOn w:val="DefaultParagraphFont"/>
    <w:uiPriority w:val="99"/>
    <w:semiHidden/>
    <w:unhideWhenUsed/>
    <w:rsid w:val="007C15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acb8df1d9&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cd6cf64ca4&amp;e=d19e9fd41c" TargetMode="External"/><Relationship Id="rId26" Type="http://schemas.openxmlformats.org/officeDocument/2006/relationships/image" Target="https://psnc.us7.list-manage.com/track/open.php?u=86d41ab7fa4c7c2c5d7210782&amp;id=23ce237378&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9d1922c160&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11dbd31f64&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5b7f0692d9&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c624e5ad11&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e3b2c02eed&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mailto:partnerships@phe.gov.uk"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2022-03-03T08:26:00Z</dcterms:created>
  <dcterms:modified xsi:type="dcterms:W3CDTF">2022-03-03T08:28:00Z</dcterms:modified>
</cp:coreProperties>
</file>