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1C2DAF" w14:paraId="57FE2F99" w14:textId="77777777" w:rsidTr="001C2DAF">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1C2DAF" w14:paraId="672E163F"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1C2DAF" w14:paraId="5B931F28" w14:textId="77777777">
                    <w:trPr>
                      <w:tblCellSpacing w:w="0" w:type="dxa"/>
                      <w:jc w:val="center"/>
                    </w:trPr>
                    <w:tc>
                      <w:tcPr>
                        <w:tcW w:w="3000" w:type="dxa"/>
                        <w:hideMark/>
                      </w:tcPr>
                      <w:p w14:paraId="216FDD8D" w14:textId="55727C8A" w:rsidR="001C2DAF" w:rsidRDefault="001C2DAF">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361F3B2E" w14:textId="77777777" w:rsidR="001C2DAF" w:rsidRDefault="001C2DAF">
                  <w:pPr>
                    <w:jc w:val="center"/>
                    <w:rPr>
                      <w:rFonts w:ascii="Times New Roman" w:eastAsia="Times New Roman" w:hAnsi="Times New Roman" w:cs="Times New Roman"/>
                      <w:sz w:val="20"/>
                      <w:szCs w:val="20"/>
                    </w:rPr>
                  </w:pPr>
                </w:p>
              </w:tc>
            </w:tr>
            <w:tr w:rsidR="001C2DAF" w14:paraId="2D4851A8"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1C2DAF" w14:paraId="132BD872"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365FC596" w14:textId="716EA285" w:rsidR="001C2DAF" w:rsidRDefault="001C2DAF">
                        <w:pPr>
                          <w:jc w:val="center"/>
                          <w:rPr>
                            <w:rFonts w:eastAsia="Times New Roman"/>
                          </w:rPr>
                        </w:pPr>
                        <w:r>
                          <w:rPr>
                            <w:rFonts w:eastAsia="Times New Roman"/>
                            <w:noProof/>
                          </w:rPr>
                          <w:drawing>
                            <wp:inline distT="0" distB="0" distL="0" distR="0" wp14:anchorId="6A02BA27" wp14:editId="0232C9A6">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1C2DAF" w14:paraId="4AFC3B62" w14:textId="77777777">
                    <w:trPr>
                      <w:tblCellSpacing w:w="0" w:type="dxa"/>
                    </w:trPr>
                    <w:tc>
                      <w:tcPr>
                        <w:tcW w:w="0" w:type="auto"/>
                        <w:vMerge/>
                        <w:tcBorders>
                          <w:top w:val="nil"/>
                          <w:left w:val="nil"/>
                          <w:bottom w:val="single" w:sz="2" w:space="0" w:color="FFFFFF"/>
                          <w:right w:val="nil"/>
                        </w:tcBorders>
                        <w:vAlign w:val="center"/>
                        <w:hideMark/>
                      </w:tcPr>
                      <w:p w14:paraId="141B55CC" w14:textId="77777777" w:rsidR="001C2DAF" w:rsidRDefault="001C2DAF">
                        <w:pPr>
                          <w:rPr>
                            <w:rFonts w:eastAsia="Times New Roman"/>
                          </w:rPr>
                        </w:pPr>
                      </w:p>
                    </w:tc>
                    <w:tc>
                      <w:tcPr>
                        <w:tcW w:w="3450" w:type="dxa"/>
                        <w:tcBorders>
                          <w:top w:val="nil"/>
                          <w:left w:val="nil"/>
                          <w:bottom w:val="nil"/>
                          <w:right w:val="nil"/>
                        </w:tcBorders>
                        <w:vAlign w:val="center"/>
                        <w:hideMark/>
                      </w:tcPr>
                      <w:p w14:paraId="77B7386A" w14:textId="77777777" w:rsidR="001C2DAF" w:rsidRDefault="001C2DAF">
                        <w:pPr>
                          <w:pStyle w:val="Heading1"/>
                          <w:rPr>
                            <w:rFonts w:eastAsia="Times New Roman"/>
                          </w:rPr>
                        </w:pPr>
                        <w:r>
                          <w:rPr>
                            <w:rFonts w:eastAsia="Times New Roman"/>
                          </w:rPr>
                          <w:t>PSNC Newsletter</w:t>
                        </w:r>
                      </w:p>
                    </w:tc>
                  </w:tr>
                  <w:tr w:rsidR="001C2DAF" w14:paraId="64A962FA" w14:textId="77777777">
                    <w:trPr>
                      <w:tblCellSpacing w:w="0" w:type="dxa"/>
                    </w:trPr>
                    <w:tc>
                      <w:tcPr>
                        <w:tcW w:w="0" w:type="auto"/>
                        <w:vMerge/>
                        <w:tcBorders>
                          <w:top w:val="nil"/>
                          <w:left w:val="nil"/>
                          <w:bottom w:val="single" w:sz="2" w:space="0" w:color="FFFFFF"/>
                          <w:right w:val="nil"/>
                        </w:tcBorders>
                        <w:vAlign w:val="center"/>
                        <w:hideMark/>
                      </w:tcPr>
                      <w:p w14:paraId="497F08A0" w14:textId="77777777" w:rsidR="001C2DAF" w:rsidRDefault="001C2DAF">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297ABCCA" w14:textId="77777777" w:rsidR="001C2DAF" w:rsidRDefault="001C2DAF">
                        <w:pPr>
                          <w:pStyle w:val="Heading2"/>
                          <w:rPr>
                            <w:rFonts w:eastAsia="Times New Roman"/>
                            <w:color w:val="93378A"/>
                          </w:rPr>
                        </w:pPr>
                        <w:r>
                          <w:rPr>
                            <w:rFonts w:eastAsia="Times New Roman"/>
                            <w:color w:val="93378A"/>
                          </w:rPr>
                          <w:t>Friday 11th March 2022</w:t>
                        </w:r>
                      </w:p>
                    </w:tc>
                  </w:tr>
                </w:tbl>
                <w:p w14:paraId="5147099B" w14:textId="77777777" w:rsidR="001C2DAF" w:rsidRDefault="001C2DAF">
                  <w:pPr>
                    <w:rPr>
                      <w:rFonts w:ascii="Times New Roman" w:eastAsia="Times New Roman" w:hAnsi="Times New Roman" w:cs="Times New Roman"/>
                      <w:sz w:val="20"/>
                      <w:szCs w:val="20"/>
                    </w:rPr>
                  </w:pPr>
                </w:p>
              </w:tc>
            </w:tr>
            <w:tr w:rsidR="001C2DAF" w14:paraId="7B4C3CA4" w14:textId="77777777">
              <w:tblPrEx>
                <w:shd w:val="clear" w:color="auto" w:fill="auto"/>
              </w:tblPrEx>
              <w:trPr>
                <w:tblCellSpacing w:w="0" w:type="dxa"/>
                <w:jc w:val="center"/>
              </w:trPr>
              <w:tc>
                <w:tcPr>
                  <w:tcW w:w="9000" w:type="dxa"/>
                  <w:hideMark/>
                </w:tcPr>
                <w:p w14:paraId="4A716569" w14:textId="0571A4C6" w:rsidR="001C2DAF" w:rsidRDefault="001C2DAF">
                  <w:pPr>
                    <w:rPr>
                      <w:rFonts w:eastAsia="Times New Roman"/>
                    </w:rPr>
                  </w:pPr>
                  <w:r>
                    <w:rPr>
                      <w:rFonts w:eastAsia="Times New Roman"/>
                      <w:noProof/>
                    </w:rPr>
                    <w:drawing>
                      <wp:inline distT="0" distB="0" distL="0" distR="0" wp14:anchorId="05AC4E33" wp14:editId="520E30C4">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1C2DAF" w14:paraId="4C409A02"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3"/>
                    <w:gridCol w:w="8615"/>
                    <w:gridCol w:w="192"/>
                  </w:tblGrid>
                  <w:tr w:rsidR="001C2DAF" w14:paraId="64F58D82" w14:textId="77777777">
                    <w:trPr>
                      <w:trHeight w:val="150"/>
                      <w:tblCellSpacing w:w="15" w:type="dxa"/>
                      <w:jc w:val="center"/>
                    </w:trPr>
                    <w:tc>
                      <w:tcPr>
                        <w:tcW w:w="150" w:type="dxa"/>
                        <w:vAlign w:val="center"/>
                        <w:hideMark/>
                      </w:tcPr>
                      <w:p w14:paraId="36BF5511" w14:textId="77777777" w:rsidR="001C2DAF" w:rsidRDefault="001C2DAF" w:rsidP="00B527DE">
                        <w:pPr>
                          <w:spacing w:line="264" w:lineRule="auto"/>
                          <w:rPr>
                            <w:rFonts w:eastAsia="Times New Roman"/>
                          </w:rPr>
                        </w:pPr>
                      </w:p>
                    </w:tc>
                    <w:tc>
                      <w:tcPr>
                        <w:tcW w:w="8700" w:type="dxa"/>
                        <w:vAlign w:val="center"/>
                        <w:hideMark/>
                      </w:tcPr>
                      <w:p w14:paraId="652F3FD2" w14:textId="77777777" w:rsidR="001C2DAF" w:rsidRDefault="001C2DAF" w:rsidP="00B527DE">
                        <w:pPr>
                          <w:spacing w:line="264" w:lineRule="auto"/>
                          <w:rPr>
                            <w:rFonts w:ascii="Times New Roman" w:eastAsia="Times New Roman" w:hAnsi="Times New Roman" w:cs="Times New Roman"/>
                            <w:sz w:val="20"/>
                            <w:szCs w:val="20"/>
                          </w:rPr>
                        </w:pPr>
                      </w:p>
                    </w:tc>
                    <w:tc>
                      <w:tcPr>
                        <w:tcW w:w="150" w:type="dxa"/>
                        <w:vAlign w:val="center"/>
                        <w:hideMark/>
                      </w:tcPr>
                      <w:p w14:paraId="60B0428A" w14:textId="77777777" w:rsidR="001C2DAF" w:rsidRDefault="001C2DAF" w:rsidP="00B527DE">
                        <w:pPr>
                          <w:spacing w:line="264" w:lineRule="auto"/>
                          <w:rPr>
                            <w:rFonts w:ascii="Times New Roman" w:eastAsia="Times New Roman" w:hAnsi="Times New Roman" w:cs="Times New Roman"/>
                            <w:sz w:val="20"/>
                            <w:szCs w:val="20"/>
                          </w:rPr>
                        </w:pPr>
                      </w:p>
                    </w:tc>
                  </w:tr>
                  <w:tr w:rsidR="001C2DAF" w14:paraId="4B73D7D9" w14:textId="77777777">
                    <w:trPr>
                      <w:tblCellSpacing w:w="15" w:type="dxa"/>
                      <w:jc w:val="center"/>
                    </w:trPr>
                    <w:tc>
                      <w:tcPr>
                        <w:tcW w:w="150" w:type="dxa"/>
                        <w:vAlign w:val="center"/>
                        <w:hideMark/>
                      </w:tcPr>
                      <w:p w14:paraId="3B42AB37" w14:textId="77777777" w:rsidR="001C2DAF" w:rsidRDefault="001C2DAF" w:rsidP="00B527DE">
                        <w:pPr>
                          <w:spacing w:line="264" w:lineRule="auto"/>
                          <w:rPr>
                            <w:rFonts w:ascii="Times New Roman" w:eastAsia="Times New Roman" w:hAnsi="Times New Roman" w:cs="Times New Roman"/>
                            <w:sz w:val="20"/>
                            <w:szCs w:val="20"/>
                          </w:rPr>
                        </w:pPr>
                      </w:p>
                    </w:tc>
                    <w:tc>
                      <w:tcPr>
                        <w:tcW w:w="8700" w:type="dxa"/>
                        <w:vAlign w:val="center"/>
                        <w:hideMark/>
                      </w:tcPr>
                      <w:p w14:paraId="07AF218B" w14:textId="77777777" w:rsidR="001C2DAF" w:rsidRDefault="001C2DAF" w:rsidP="00B527DE">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This newsletter from PSNC is sent on Mondays, Wednesdays and Fridays. It contains important information for those that work in the community pharmacy sector.</w:t>
                        </w:r>
                      </w:p>
                      <w:p w14:paraId="64A68CB0" w14:textId="77777777" w:rsidR="001C2DAF" w:rsidRDefault="001C2DAF" w:rsidP="00B527DE">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3E40C0CF">
                            <v:rect id="_x0000_i1032" style="width:468pt;height:1.5pt" o:hrstd="t" o:hr="t" fillcolor="#a0a0a0" stroked="f"/>
                          </w:pict>
                        </w:r>
                      </w:p>
                      <w:p w14:paraId="647028CE" w14:textId="174AFA6A" w:rsidR="001C2DAF" w:rsidRDefault="001C2DAF" w:rsidP="00B527DE">
                        <w:pPr>
                          <w:pStyle w:val="Heading2"/>
                          <w:spacing w:after="0"/>
                          <w:rPr>
                            <w:rFonts w:eastAsia="Times New Roman"/>
                          </w:rPr>
                        </w:pPr>
                        <w:r>
                          <w:rPr>
                            <w:rFonts w:eastAsia="Times New Roman"/>
                          </w:rPr>
                          <w:t>CPCS IT contracting arrangements changing in April; Cyber Security resilience request.</w:t>
                        </w:r>
                      </w:p>
                      <w:p w14:paraId="3DDA641E" w14:textId="77777777" w:rsidR="001C2DAF" w:rsidRDefault="001C2DAF" w:rsidP="00B527DE">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5531AD93">
                            <v:rect id="_x0000_i1033" style="width:468pt;height:1.5pt" o:hrstd="t" o:hr="t" fillcolor="#a0a0a0" stroked="f"/>
                          </w:pict>
                        </w:r>
                      </w:p>
                      <w:p w14:paraId="52DC6436" w14:textId="77777777" w:rsidR="001C2DAF" w:rsidRDefault="001C2DAF" w:rsidP="00B527DE">
                        <w:pPr>
                          <w:pStyle w:val="Heading2"/>
                          <w:spacing w:after="0"/>
                          <w:rPr>
                            <w:rFonts w:eastAsia="Times New Roman"/>
                          </w:rPr>
                        </w:pPr>
                        <w:r>
                          <w:rPr>
                            <w:rFonts w:eastAsia="Times New Roman"/>
                          </w:rPr>
                          <w:t>CPCS IT contracting arrangements will change on 1st April 2022</w:t>
                        </w:r>
                      </w:p>
                      <w:p w14:paraId="6BFD53B1" w14:textId="2CD50D8A" w:rsidR="001C2DAF" w:rsidRDefault="001C2DAF" w:rsidP="00B527DE">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The national provision of NHS Community Pharmacist Consultation Service (CPCS) IT solutions will end on 31st March 2022. From 1st April 2022, pharmacy contractors are responsible for securing a new contractual agreement with an assured IT supplier of their choosing. </w:t>
                        </w:r>
                      </w:p>
                      <w:p w14:paraId="1F369A0E" w14:textId="77777777" w:rsidR="00B527DE" w:rsidRDefault="00B527DE" w:rsidP="00B527DE">
                        <w:pPr>
                          <w:pStyle w:val="NormalWeb"/>
                          <w:spacing w:before="0" w:beforeAutospacing="0" w:after="0" w:afterAutospacing="0" w:line="264" w:lineRule="auto"/>
                          <w:rPr>
                            <w:rFonts w:ascii="Tahoma" w:hAnsi="Tahoma" w:cs="Tahoma"/>
                            <w:color w:val="303030"/>
                            <w:sz w:val="21"/>
                            <w:szCs w:val="21"/>
                          </w:rPr>
                        </w:pPr>
                      </w:p>
                      <w:p w14:paraId="7080929A" w14:textId="0475331D" w:rsidR="001C2DAF" w:rsidRDefault="001C2DAF" w:rsidP="00B527DE">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The NHSE&amp;I </w:t>
                        </w:r>
                        <w:hyperlink r:id="rId9" w:tgtFrame="_blank" w:history="1">
                          <w:r>
                            <w:rPr>
                              <w:rStyle w:val="Strong"/>
                              <w:rFonts w:ascii="Tahoma" w:hAnsi="Tahoma" w:cs="Tahoma"/>
                              <w:color w:val="4E3487"/>
                              <w:sz w:val="21"/>
                              <w:szCs w:val="21"/>
                            </w:rPr>
                            <w:t>CPCS IT Provider ‘Switching/confirming guide’</w:t>
                          </w:r>
                        </w:hyperlink>
                        <w:r>
                          <w:rPr>
                            <w:rFonts w:ascii="Tahoma" w:hAnsi="Tahoma" w:cs="Tahoma"/>
                            <w:color w:val="303030"/>
                            <w:sz w:val="21"/>
                            <w:szCs w:val="21"/>
                          </w:rPr>
                          <w:t> explains the options are:</w:t>
                        </w:r>
                      </w:p>
                      <w:p w14:paraId="0F850DF7" w14:textId="77777777" w:rsidR="001C2DAF" w:rsidRDefault="001C2DAF" w:rsidP="00B527DE">
                        <w:pPr>
                          <w:numPr>
                            <w:ilvl w:val="0"/>
                            <w:numId w:val="1"/>
                          </w:numPr>
                          <w:spacing w:line="264" w:lineRule="auto"/>
                          <w:rPr>
                            <w:rFonts w:ascii="Tahoma" w:eastAsia="Times New Roman" w:hAnsi="Tahoma" w:cs="Tahoma"/>
                            <w:color w:val="303030"/>
                            <w:sz w:val="21"/>
                            <w:szCs w:val="21"/>
                          </w:rPr>
                        </w:pPr>
                        <w:r>
                          <w:rPr>
                            <w:rStyle w:val="Strong"/>
                            <w:rFonts w:ascii="Tahoma" w:eastAsia="Times New Roman" w:hAnsi="Tahoma" w:cs="Tahoma"/>
                            <w:color w:val="303030"/>
                            <w:sz w:val="21"/>
                            <w:szCs w:val="21"/>
                          </w:rPr>
                          <w:t>Switch</w:t>
                        </w:r>
                        <w:r>
                          <w:rPr>
                            <w:rFonts w:ascii="Tahoma" w:eastAsia="Times New Roman" w:hAnsi="Tahoma" w:cs="Tahoma"/>
                            <w:color w:val="303030"/>
                            <w:sz w:val="21"/>
                            <w:szCs w:val="21"/>
                          </w:rPr>
                          <w:t> to another CPCS IT provider (you should inform them well in advance so they can confirm the switch has been successful); or</w:t>
                        </w:r>
                      </w:p>
                      <w:p w14:paraId="7E75857B" w14:textId="77777777" w:rsidR="001C2DAF" w:rsidRDefault="001C2DAF" w:rsidP="00B527DE">
                        <w:pPr>
                          <w:numPr>
                            <w:ilvl w:val="0"/>
                            <w:numId w:val="1"/>
                          </w:numPr>
                          <w:spacing w:line="264" w:lineRule="auto"/>
                          <w:rPr>
                            <w:rFonts w:ascii="Tahoma" w:eastAsia="Times New Roman" w:hAnsi="Tahoma" w:cs="Tahoma"/>
                            <w:color w:val="303030"/>
                            <w:sz w:val="21"/>
                            <w:szCs w:val="21"/>
                          </w:rPr>
                        </w:pPr>
                        <w:r>
                          <w:rPr>
                            <w:rStyle w:val="Strong"/>
                            <w:rFonts w:ascii="Tahoma" w:eastAsia="Times New Roman" w:hAnsi="Tahoma" w:cs="Tahoma"/>
                            <w:color w:val="303030"/>
                            <w:sz w:val="21"/>
                            <w:szCs w:val="21"/>
                          </w:rPr>
                          <w:t>Stay</w:t>
                        </w:r>
                        <w:r>
                          <w:rPr>
                            <w:rFonts w:ascii="Tahoma" w:eastAsia="Times New Roman" w:hAnsi="Tahoma" w:cs="Tahoma"/>
                            <w:color w:val="303030"/>
                            <w:sz w:val="21"/>
                            <w:szCs w:val="21"/>
                          </w:rPr>
                          <w:t> with existing CPCS IT provider (you should notify them so they can confirm a new service agreement with you)</w:t>
                        </w:r>
                      </w:p>
                      <w:p w14:paraId="5E4F12F3" w14:textId="77777777" w:rsidR="00B527DE" w:rsidRDefault="00B527DE" w:rsidP="00B527DE">
                        <w:pPr>
                          <w:pStyle w:val="NormalWeb"/>
                          <w:spacing w:before="0" w:beforeAutospacing="0" w:after="0" w:afterAutospacing="0" w:line="264" w:lineRule="auto"/>
                          <w:rPr>
                            <w:rFonts w:ascii="Tahoma" w:hAnsi="Tahoma" w:cs="Tahoma"/>
                            <w:color w:val="303030"/>
                            <w:sz w:val="21"/>
                            <w:szCs w:val="21"/>
                          </w:rPr>
                        </w:pPr>
                      </w:p>
                      <w:p w14:paraId="7D8ECE32" w14:textId="0CC0DF9C" w:rsidR="001C2DAF" w:rsidRDefault="001C2DAF" w:rsidP="00B527DE">
                        <w:pPr>
                          <w:pStyle w:val="NormalWeb"/>
                          <w:spacing w:before="0" w:beforeAutospacing="0" w:after="0" w:afterAutospacing="0" w:line="264" w:lineRule="auto"/>
                          <w:rPr>
                            <w:rFonts w:ascii="Tahoma" w:hAnsi="Tahoma" w:cs="Tahoma"/>
                            <w:color w:val="303030"/>
                            <w:sz w:val="21"/>
                            <w:szCs w:val="21"/>
                          </w:rPr>
                        </w:pPr>
                        <w:hyperlink r:id="rId10" w:tgtFrame="_blank" w:history="1">
                          <w:r>
                            <w:rPr>
                              <w:rStyle w:val="Hyperlink"/>
                              <w:rFonts w:ascii="Tahoma" w:hAnsi="Tahoma" w:cs="Tahoma"/>
                              <w:b/>
                              <w:bCs/>
                              <w:color w:val="4E3487"/>
                              <w:sz w:val="21"/>
                              <w:szCs w:val="21"/>
                            </w:rPr>
                            <w:t>Find out more</w:t>
                          </w:r>
                        </w:hyperlink>
                      </w:p>
                      <w:p w14:paraId="6A894095" w14:textId="77777777" w:rsidR="001C2DAF" w:rsidRDefault="001C2DAF" w:rsidP="00B527DE">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48070C84">
                            <v:rect id="_x0000_i1035" style="width:468pt;height:1.5pt" o:hrstd="t" o:hr="t" fillcolor="#a0a0a0" stroked="f"/>
                          </w:pict>
                        </w:r>
                      </w:p>
                      <w:p w14:paraId="2E7F8E0A" w14:textId="77777777" w:rsidR="001C2DAF" w:rsidRDefault="001C2DAF" w:rsidP="00B527DE">
                        <w:pPr>
                          <w:pStyle w:val="Heading2"/>
                          <w:spacing w:after="0"/>
                          <w:rPr>
                            <w:rFonts w:eastAsia="Times New Roman"/>
                          </w:rPr>
                        </w:pPr>
                        <w:r>
                          <w:rPr>
                            <w:rFonts w:eastAsia="Times New Roman"/>
                          </w:rPr>
                          <w:t>National Cyber Security Centre resilience request</w:t>
                        </w:r>
                      </w:p>
                      <w:p w14:paraId="6E78DD69" w14:textId="68D93FD6" w:rsidR="001C2DAF" w:rsidRDefault="001C2DAF" w:rsidP="00B527DE">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The National Cyber Security Centre (NCSC) has urged organisations to bolster their cyber security resilience in response to the malicious cyber incidents in and around Ukraine and recently issued guidance that encourages organisations to consider steps that reduce the risk of falling victim to a cyber attack. </w:t>
                        </w:r>
                      </w:p>
                      <w:p w14:paraId="621A7A5C" w14:textId="77777777" w:rsidR="00B527DE" w:rsidRDefault="00B527DE" w:rsidP="00B527DE">
                        <w:pPr>
                          <w:pStyle w:val="NormalWeb"/>
                          <w:spacing w:before="0" w:beforeAutospacing="0" w:after="0" w:afterAutospacing="0" w:line="264" w:lineRule="auto"/>
                          <w:rPr>
                            <w:rFonts w:ascii="Tahoma" w:hAnsi="Tahoma" w:cs="Tahoma"/>
                            <w:color w:val="303030"/>
                            <w:sz w:val="21"/>
                            <w:szCs w:val="21"/>
                          </w:rPr>
                        </w:pPr>
                      </w:p>
                      <w:p w14:paraId="2DD305CC" w14:textId="7172F47E" w:rsidR="001C2DAF" w:rsidRDefault="001C2DAF" w:rsidP="00B527DE">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Community pharmacy contractors are also reminded of the following PSNC briefings, which contain important information on how to improve data and cyber security for pharmacies:</w:t>
                        </w:r>
                      </w:p>
                      <w:p w14:paraId="1392384E" w14:textId="77777777" w:rsidR="001C2DAF" w:rsidRDefault="001C2DAF" w:rsidP="00B527DE">
                        <w:pPr>
                          <w:numPr>
                            <w:ilvl w:val="0"/>
                            <w:numId w:val="2"/>
                          </w:numPr>
                          <w:spacing w:line="264" w:lineRule="auto"/>
                          <w:rPr>
                            <w:rFonts w:ascii="Tahoma" w:eastAsia="Times New Roman" w:hAnsi="Tahoma" w:cs="Tahoma"/>
                            <w:color w:val="303030"/>
                            <w:sz w:val="21"/>
                            <w:szCs w:val="21"/>
                          </w:rPr>
                        </w:pPr>
                        <w:hyperlink r:id="rId11" w:history="1">
                          <w:r>
                            <w:rPr>
                              <w:rStyle w:val="Hyperlink"/>
                              <w:rFonts w:ascii="Tahoma" w:eastAsia="Times New Roman" w:hAnsi="Tahoma" w:cs="Tahoma"/>
                              <w:b/>
                              <w:bCs/>
                              <w:color w:val="4E3487"/>
                              <w:sz w:val="21"/>
                              <w:szCs w:val="21"/>
                            </w:rPr>
                            <w:t>Ten steps to improve cyber security within your pharmacy</w:t>
                          </w:r>
                        </w:hyperlink>
                        <w:r>
                          <w:rPr>
                            <w:rFonts w:ascii="Tahoma" w:eastAsia="Times New Roman" w:hAnsi="Tahoma" w:cs="Tahoma"/>
                            <w:color w:val="303030"/>
                            <w:sz w:val="21"/>
                            <w:szCs w:val="21"/>
                          </w:rPr>
                          <w:t>; and</w:t>
                        </w:r>
                      </w:p>
                      <w:p w14:paraId="6B86CFF7" w14:textId="77777777" w:rsidR="001C2DAF" w:rsidRDefault="001C2DAF" w:rsidP="00B527DE">
                        <w:pPr>
                          <w:numPr>
                            <w:ilvl w:val="0"/>
                            <w:numId w:val="2"/>
                          </w:numPr>
                          <w:spacing w:line="264" w:lineRule="auto"/>
                          <w:rPr>
                            <w:rFonts w:ascii="Tahoma" w:eastAsia="Times New Roman" w:hAnsi="Tahoma" w:cs="Tahoma"/>
                            <w:color w:val="303030"/>
                            <w:sz w:val="21"/>
                            <w:szCs w:val="21"/>
                          </w:rPr>
                        </w:pPr>
                        <w:hyperlink r:id="rId12" w:history="1">
                          <w:r>
                            <w:rPr>
                              <w:rStyle w:val="Hyperlink"/>
                              <w:rFonts w:ascii="Tahoma" w:eastAsia="Times New Roman" w:hAnsi="Tahoma" w:cs="Tahoma"/>
                              <w:b/>
                              <w:bCs/>
                              <w:color w:val="4E3487"/>
                              <w:sz w:val="21"/>
                              <w:szCs w:val="21"/>
                            </w:rPr>
                            <w:t>Cyber security tips IT factsheet</w:t>
                          </w:r>
                        </w:hyperlink>
                        <w:r>
                          <w:rPr>
                            <w:rFonts w:ascii="Tahoma" w:eastAsia="Times New Roman" w:hAnsi="Tahoma" w:cs="Tahoma"/>
                            <w:color w:val="303030"/>
                            <w:sz w:val="21"/>
                            <w:szCs w:val="21"/>
                          </w:rPr>
                          <w:t>.</w:t>
                        </w:r>
                      </w:p>
                    </w:tc>
                    <w:tc>
                      <w:tcPr>
                        <w:tcW w:w="150" w:type="dxa"/>
                        <w:vAlign w:val="center"/>
                        <w:hideMark/>
                      </w:tcPr>
                      <w:p w14:paraId="2DE52972" w14:textId="77777777" w:rsidR="001C2DAF" w:rsidRDefault="001C2DAF" w:rsidP="00B527DE">
                        <w:pPr>
                          <w:spacing w:line="264" w:lineRule="auto"/>
                          <w:rPr>
                            <w:rFonts w:ascii="Tahoma" w:eastAsia="Times New Roman" w:hAnsi="Tahoma" w:cs="Tahoma"/>
                            <w:color w:val="303030"/>
                            <w:sz w:val="21"/>
                            <w:szCs w:val="21"/>
                          </w:rPr>
                        </w:pPr>
                      </w:p>
                    </w:tc>
                  </w:tr>
                  <w:tr w:rsidR="001C2DAF" w14:paraId="5313207A" w14:textId="77777777">
                    <w:trPr>
                      <w:trHeight w:val="150"/>
                      <w:tblCellSpacing w:w="15" w:type="dxa"/>
                      <w:jc w:val="center"/>
                    </w:trPr>
                    <w:tc>
                      <w:tcPr>
                        <w:tcW w:w="150" w:type="dxa"/>
                        <w:vAlign w:val="center"/>
                        <w:hideMark/>
                      </w:tcPr>
                      <w:p w14:paraId="362C8D14" w14:textId="77777777" w:rsidR="001C2DAF" w:rsidRDefault="001C2DAF" w:rsidP="00B527DE">
                        <w:pPr>
                          <w:spacing w:line="264" w:lineRule="auto"/>
                          <w:rPr>
                            <w:rFonts w:ascii="Times New Roman" w:eastAsia="Times New Roman" w:hAnsi="Times New Roman" w:cs="Times New Roman"/>
                            <w:sz w:val="20"/>
                            <w:szCs w:val="20"/>
                          </w:rPr>
                        </w:pPr>
                      </w:p>
                    </w:tc>
                    <w:tc>
                      <w:tcPr>
                        <w:tcW w:w="8700" w:type="dxa"/>
                        <w:vAlign w:val="center"/>
                        <w:hideMark/>
                      </w:tcPr>
                      <w:p w14:paraId="662D0BA9" w14:textId="77777777" w:rsidR="001C2DAF" w:rsidRDefault="001C2DAF" w:rsidP="00B527DE">
                        <w:pPr>
                          <w:spacing w:line="264" w:lineRule="auto"/>
                          <w:rPr>
                            <w:rFonts w:ascii="Times New Roman" w:eastAsia="Times New Roman" w:hAnsi="Times New Roman" w:cs="Times New Roman"/>
                            <w:sz w:val="20"/>
                            <w:szCs w:val="20"/>
                          </w:rPr>
                        </w:pPr>
                      </w:p>
                    </w:tc>
                    <w:tc>
                      <w:tcPr>
                        <w:tcW w:w="150" w:type="dxa"/>
                        <w:vAlign w:val="center"/>
                        <w:hideMark/>
                      </w:tcPr>
                      <w:p w14:paraId="6925329A" w14:textId="77777777" w:rsidR="001C2DAF" w:rsidRDefault="001C2DAF" w:rsidP="00B527DE">
                        <w:pPr>
                          <w:spacing w:line="264" w:lineRule="auto"/>
                          <w:rPr>
                            <w:rFonts w:ascii="Times New Roman" w:eastAsia="Times New Roman" w:hAnsi="Times New Roman" w:cs="Times New Roman"/>
                            <w:sz w:val="20"/>
                            <w:szCs w:val="20"/>
                          </w:rPr>
                        </w:pPr>
                      </w:p>
                    </w:tc>
                  </w:tr>
                </w:tbl>
                <w:p w14:paraId="1FD1BCB1" w14:textId="77777777" w:rsidR="001C2DAF" w:rsidRDefault="001C2DAF" w:rsidP="00B527DE">
                  <w:pPr>
                    <w:spacing w:line="264" w:lineRule="auto"/>
                    <w:rPr>
                      <w:rFonts w:ascii="Times New Roman" w:eastAsia="Times New Roman" w:hAnsi="Times New Roman" w:cs="Times New Roman"/>
                      <w:sz w:val="20"/>
                      <w:szCs w:val="20"/>
                    </w:rPr>
                  </w:pPr>
                </w:p>
              </w:tc>
            </w:tr>
          </w:tbl>
          <w:p w14:paraId="6561120B" w14:textId="77777777" w:rsidR="001C2DAF" w:rsidRDefault="001C2DAF">
            <w:pPr>
              <w:jc w:val="center"/>
              <w:rPr>
                <w:rFonts w:ascii="Times New Roman" w:eastAsia="Times New Roman" w:hAnsi="Times New Roman" w:cs="Times New Roman"/>
                <w:sz w:val="20"/>
                <w:szCs w:val="20"/>
              </w:rPr>
            </w:pPr>
          </w:p>
        </w:tc>
      </w:tr>
      <w:tr w:rsidR="001C2DAF" w14:paraId="25E66F64" w14:textId="77777777" w:rsidTr="001C2DAF">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1C2DAF" w14:paraId="45F5A1C5"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1C2DAF" w14:paraId="6F177261" w14:textId="77777777">
                    <w:trPr>
                      <w:tblCellSpacing w:w="0" w:type="dxa"/>
                      <w:jc w:val="center"/>
                    </w:trPr>
                    <w:tc>
                      <w:tcPr>
                        <w:tcW w:w="3000" w:type="dxa"/>
                        <w:tcMar>
                          <w:top w:w="30" w:type="dxa"/>
                          <w:left w:w="75" w:type="dxa"/>
                          <w:bottom w:w="30" w:type="dxa"/>
                          <w:right w:w="75" w:type="dxa"/>
                        </w:tcMar>
                        <w:hideMark/>
                      </w:tcPr>
                      <w:p w14:paraId="4D74E73C" w14:textId="77777777" w:rsidR="001C2DAF" w:rsidRDefault="001C2DAF">
                        <w:pPr>
                          <w:pStyle w:val="Heading4"/>
                          <w:jc w:val="center"/>
                          <w:rPr>
                            <w:rFonts w:eastAsia="Times New Roman"/>
                          </w:rPr>
                        </w:pPr>
                        <w:r>
                          <w:rPr>
                            <w:rFonts w:eastAsia="Times New Roman"/>
                          </w:rPr>
                          <w:t>Pharmaceutical Services Negotiating Committee</w:t>
                        </w:r>
                      </w:p>
                      <w:p w14:paraId="18D7BCCB" w14:textId="4EA159AA" w:rsidR="001C2DAF" w:rsidRDefault="001C2DAF">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5177EE35" wp14:editId="112EE203">
                              <wp:extent cx="609600" cy="304800"/>
                              <wp:effectExtent l="0" t="0" r="0" b="0"/>
                              <wp:docPr id="5" name="Picture 5">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00FA4152" wp14:editId="4E948328">
                              <wp:extent cx="609600" cy="304800"/>
                              <wp:effectExtent l="0" t="0" r="0" b="0"/>
                              <wp:docPr id="4" name="Picture 4">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1BA8A701" wp14:editId="26F30F35">
                              <wp:extent cx="609600" cy="304800"/>
                              <wp:effectExtent l="0" t="0" r="0" b="0"/>
                              <wp:docPr id="3" name="Picture 3">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301B9E64" wp14:editId="46FAED19">
                              <wp:extent cx="609600" cy="304800"/>
                              <wp:effectExtent l="0" t="0" r="0" b="0"/>
                              <wp:docPr id="2" name="Picture 2">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277282FA" w14:textId="77777777" w:rsidR="001C2DAF" w:rsidRDefault="001C2DAF">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5"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1C2DAF" w14:paraId="20A82C24" w14:textId="77777777" w:rsidTr="00B527DE">
                    <w:trPr>
                      <w:trHeight w:val="20"/>
                      <w:tblCellSpacing w:w="0" w:type="dxa"/>
                      <w:jc w:val="center"/>
                    </w:trPr>
                    <w:tc>
                      <w:tcPr>
                        <w:tcW w:w="9000" w:type="dxa"/>
                        <w:tcMar>
                          <w:top w:w="150" w:type="dxa"/>
                          <w:left w:w="0" w:type="dxa"/>
                          <w:bottom w:w="0" w:type="dxa"/>
                          <w:right w:w="0" w:type="dxa"/>
                        </w:tcMar>
                        <w:vAlign w:val="center"/>
                        <w:hideMark/>
                      </w:tcPr>
                      <w:p w14:paraId="718BF0F7" w14:textId="7269067F" w:rsidR="001C2DAF" w:rsidRDefault="001C2DAF" w:rsidP="00B527DE">
                        <w:pPr>
                          <w:rPr>
                            <w:rFonts w:ascii="Arial" w:eastAsia="Times New Roman" w:hAnsi="Arial" w:cs="Arial"/>
                            <w:color w:val="FFFFFF"/>
                            <w:sz w:val="17"/>
                            <w:szCs w:val="17"/>
                          </w:rPr>
                        </w:pPr>
                      </w:p>
                    </w:tc>
                  </w:tr>
                </w:tbl>
                <w:p w14:paraId="6EB23705" w14:textId="77777777" w:rsidR="001C2DAF" w:rsidRDefault="001C2DAF">
                  <w:pPr>
                    <w:jc w:val="center"/>
                    <w:rPr>
                      <w:rFonts w:ascii="Times New Roman" w:eastAsia="Times New Roman" w:hAnsi="Times New Roman" w:cs="Times New Roman"/>
                      <w:sz w:val="20"/>
                      <w:szCs w:val="20"/>
                    </w:rPr>
                  </w:pPr>
                </w:p>
              </w:tc>
            </w:tr>
          </w:tbl>
          <w:p w14:paraId="7B4BCC38" w14:textId="77777777" w:rsidR="001C2DAF" w:rsidRDefault="001C2DAF">
            <w:pPr>
              <w:jc w:val="center"/>
              <w:rPr>
                <w:rFonts w:ascii="Times New Roman" w:eastAsia="Times New Roman" w:hAnsi="Times New Roman" w:cs="Times New Roman"/>
                <w:sz w:val="20"/>
                <w:szCs w:val="20"/>
              </w:rPr>
            </w:pPr>
          </w:p>
        </w:tc>
      </w:tr>
    </w:tbl>
    <w:p w14:paraId="144C0A4D" w14:textId="77BFF85B" w:rsidR="001C2DAF" w:rsidRDefault="001C2DAF" w:rsidP="001C2DAF">
      <w:pPr>
        <w:rPr>
          <w:rFonts w:eastAsia="Times New Roman"/>
        </w:rPr>
      </w:pPr>
      <w:r>
        <w:rPr>
          <w:rFonts w:eastAsia="Times New Roman"/>
          <w:noProof/>
        </w:rPr>
        <w:drawing>
          <wp:inline distT="0" distB="0" distL="0" distR="0" wp14:anchorId="2E983D2E" wp14:editId="6F179BC6">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AEA9833"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A60E98"/>
    <w:multiLevelType w:val="multilevel"/>
    <w:tmpl w:val="02164D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A51E3D"/>
    <w:multiLevelType w:val="multilevel"/>
    <w:tmpl w:val="82904C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DAF"/>
    <w:rsid w:val="001C2DAF"/>
    <w:rsid w:val="00B527DE"/>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6E9F7"/>
  <w15:chartTrackingRefBased/>
  <w15:docId w15:val="{A354840B-4457-457C-9B5E-BB8516AEE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DAF"/>
    <w:rPr>
      <w:rFonts w:ascii="Calibri" w:hAnsi="Calibri" w:cs="Calibri"/>
      <w:lang w:eastAsia="en-GB"/>
    </w:rPr>
  </w:style>
  <w:style w:type="paragraph" w:styleId="Heading1">
    <w:name w:val="heading 1"/>
    <w:basedOn w:val="Normal"/>
    <w:link w:val="Heading1Char"/>
    <w:uiPriority w:val="9"/>
    <w:qFormat/>
    <w:rsid w:val="001C2DAF"/>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1C2DAF"/>
    <w:pPr>
      <w:spacing w:after="75" w:line="264" w:lineRule="auto"/>
      <w:outlineLvl w:val="1"/>
    </w:pPr>
    <w:rPr>
      <w:rFonts w:ascii="Tahoma" w:hAnsi="Tahoma" w:cs="Tahoma"/>
      <w:b/>
      <w:bCs/>
      <w:color w:val="4E3487"/>
      <w:sz w:val="30"/>
      <w:szCs w:val="30"/>
    </w:rPr>
  </w:style>
  <w:style w:type="paragraph" w:styleId="Heading4">
    <w:name w:val="heading 4"/>
    <w:basedOn w:val="Normal"/>
    <w:link w:val="Heading4Char"/>
    <w:uiPriority w:val="9"/>
    <w:semiHidden/>
    <w:unhideWhenUsed/>
    <w:qFormat/>
    <w:rsid w:val="001C2DAF"/>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DAF"/>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1C2DAF"/>
    <w:rPr>
      <w:rFonts w:ascii="Tahoma" w:hAnsi="Tahoma" w:cs="Tahoma"/>
      <w:b/>
      <w:bCs/>
      <w:color w:val="4E3487"/>
      <w:sz w:val="30"/>
      <w:szCs w:val="30"/>
      <w:lang w:eastAsia="en-GB"/>
    </w:rPr>
  </w:style>
  <w:style w:type="character" w:customStyle="1" w:styleId="Heading4Char">
    <w:name w:val="Heading 4 Char"/>
    <w:basedOn w:val="DefaultParagraphFont"/>
    <w:link w:val="Heading4"/>
    <w:uiPriority w:val="9"/>
    <w:semiHidden/>
    <w:rsid w:val="001C2DAF"/>
    <w:rPr>
      <w:rFonts w:ascii="Tahoma" w:hAnsi="Tahoma" w:cs="Tahoma"/>
      <w:b/>
      <w:bCs/>
      <w:color w:val="FFFFFF"/>
      <w:sz w:val="18"/>
      <w:szCs w:val="18"/>
      <w:lang w:eastAsia="en-GB"/>
    </w:rPr>
  </w:style>
  <w:style w:type="paragraph" w:styleId="NormalWeb">
    <w:name w:val="Normal (Web)"/>
    <w:basedOn w:val="Normal"/>
    <w:uiPriority w:val="99"/>
    <w:semiHidden/>
    <w:unhideWhenUsed/>
    <w:rsid w:val="001C2DAF"/>
    <w:pPr>
      <w:spacing w:before="100" w:beforeAutospacing="1" w:after="100" w:afterAutospacing="1"/>
    </w:pPr>
  </w:style>
  <w:style w:type="character" w:styleId="Strong">
    <w:name w:val="Strong"/>
    <w:basedOn w:val="DefaultParagraphFont"/>
    <w:uiPriority w:val="22"/>
    <w:qFormat/>
    <w:rsid w:val="001C2DAF"/>
    <w:rPr>
      <w:b/>
      <w:bCs/>
    </w:rPr>
  </w:style>
  <w:style w:type="character" w:styleId="Hyperlink">
    <w:name w:val="Hyperlink"/>
    <w:basedOn w:val="DefaultParagraphFont"/>
    <w:uiPriority w:val="99"/>
    <w:semiHidden/>
    <w:unhideWhenUsed/>
    <w:rsid w:val="001C2D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77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psnc.org.uk/wp-content/uploads/2013/11/Newsletter-style-bar.png" TargetMode="External"/><Relationship Id="rId13" Type="http://schemas.openxmlformats.org/officeDocument/2006/relationships/hyperlink" Target="https://psnc.us7.list-manage.com/track/click?u=86d41ab7fa4c7c2c5d7210782&amp;id=e36fbe9c0e&amp;e=d19e9fd41c" TargetMode="External"/><Relationship Id="rId18" Type="http://schemas.openxmlformats.org/officeDocument/2006/relationships/image" Target="https://gallery.mailchimp.com/86d41ab7fa4c7c2c5d7210782/images/e1475f6b-1081-4509-ab25-9cd7f83d26b2.png" TargetMode="External"/><Relationship Id="rId26" Type="http://schemas.openxmlformats.org/officeDocument/2006/relationships/image" Target="media/image7.gif"/><Relationship Id="rId3" Type="http://schemas.openxmlformats.org/officeDocument/2006/relationships/settings" Target="settings.xml"/><Relationship Id="rId21" Type="http://schemas.openxmlformats.org/officeDocument/2006/relationships/image" Target="https://gallery.mailchimp.com/86d41ab7fa4c7c2c5d7210782/images/cd088afd-0ac0-4498-8ed1-e4199bf882ce.png" TargetMode="External"/><Relationship Id="rId7" Type="http://schemas.openxmlformats.org/officeDocument/2006/relationships/image" Target="media/image2.png"/><Relationship Id="rId12" Type="http://schemas.openxmlformats.org/officeDocument/2006/relationships/hyperlink" Target="https://psnc.us7.list-manage.com/track/click?u=86d41ab7fa4c7c2c5d7210782&amp;id=b4f6ce3137&amp;e=d19e9fd41c" TargetMode="External"/><Relationship Id="rId17" Type="http://schemas.openxmlformats.org/officeDocument/2006/relationships/image" Target="media/image4.png"/><Relationship Id="rId25" Type="http://schemas.openxmlformats.org/officeDocument/2006/relationships/hyperlink" Target="mailto:info@psnc.org.uk" TargetMode="External"/><Relationship Id="rId2" Type="http://schemas.openxmlformats.org/officeDocument/2006/relationships/styles" Target="styles.xml"/><Relationship Id="rId16" Type="http://schemas.openxmlformats.org/officeDocument/2006/relationships/hyperlink" Target="https://psnc.us7.list-manage.com/track/click?u=86d41ab7fa4c7c2c5d7210782&amp;id=8175d32fa0&amp;e=d19e9fd41c" TargetMode="External"/><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https://gallery.mailchimp.com/86d41ab7fa4c7c2c5d7210782/images/001d399a-96a4-4e1f-b905-a21d530b5d29.jpg" TargetMode="External"/><Relationship Id="rId11" Type="http://schemas.openxmlformats.org/officeDocument/2006/relationships/hyperlink" Target="https://psnc.us7.list-manage.com/track/click?u=86d41ab7fa4c7c2c5d7210782&amp;id=dd5349920f&amp;e=d19e9fd41c" TargetMode="External"/><Relationship Id="rId24" Type="http://schemas.openxmlformats.org/officeDocument/2006/relationships/image" Target="https://gallery.mailchimp.com/86d41ab7fa4c7c2c5d7210782/images/f5c0845f-f39c-425d-8d3c-deff11493c50.png" TargetMode="External"/><Relationship Id="rId5" Type="http://schemas.openxmlformats.org/officeDocument/2006/relationships/image" Target="media/image1.jpeg"/><Relationship Id="rId15" Type="http://schemas.openxmlformats.org/officeDocument/2006/relationships/image" Target="https://gallery.mailchimp.com/86d41ab7fa4c7c2c5d7210782/images/5acd9cf1-bdba-4039-b74f-638b444ff5d8.png" TargetMode="External"/><Relationship Id="rId23" Type="http://schemas.openxmlformats.org/officeDocument/2006/relationships/image" Target="media/image6.png"/><Relationship Id="rId28" Type="http://schemas.openxmlformats.org/officeDocument/2006/relationships/fontTable" Target="fontTable.xml"/><Relationship Id="rId10" Type="http://schemas.openxmlformats.org/officeDocument/2006/relationships/hyperlink" Target="https://psnc.us7.list-manage.com/track/click?u=86d41ab7fa4c7c2c5d7210782&amp;id=53c1abfbd0&amp;e=d19e9fd41c" TargetMode="External"/><Relationship Id="rId19" Type="http://schemas.openxmlformats.org/officeDocument/2006/relationships/hyperlink" Target="https://psnc.us7.list-manage.com/track/click?u=86d41ab7fa4c7c2c5d7210782&amp;id=c31be1b039&amp;e=d19e9fd41c" TargetMode="External"/><Relationship Id="rId4" Type="http://schemas.openxmlformats.org/officeDocument/2006/relationships/webSettings" Target="webSettings.xml"/><Relationship Id="rId9" Type="http://schemas.openxmlformats.org/officeDocument/2006/relationships/hyperlink" Target="https://psnc.us7.list-manage.com/track/click?u=86d41ab7fa4c7c2c5d7210782&amp;id=8d58217469&amp;e=d19e9fd41c" TargetMode="External"/><Relationship Id="rId14" Type="http://schemas.openxmlformats.org/officeDocument/2006/relationships/image" Target="media/image3.png"/><Relationship Id="rId22" Type="http://schemas.openxmlformats.org/officeDocument/2006/relationships/hyperlink" Target="https://psnc.us7.list-manage.com/track/click?u=86d41ab7fa4c7c2c5d7210782&amp;id=5949d2f95a&amp;e=d19e9fd41c" TargetMode="External"/><Relationship Id="rId27" Type="http://schemas.openxmlformats.org/officeDocument/2006/relationships/image" Target="https://psnc.us7.list-manage.com/track/open.php?u=86d41ab7fa4c7c2c5d7210782&amp;id=b8ef5de9f6&amp;e=d19e9fd4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1971</Characters>
  <Application>Microsoft Office Word</Application>
  <DocSecurity>0</DocSecurity>
  <Lines>16</Lines>
  <Paragraphs>4</Paragraphs>
  <ScaleCrop>false</ScaleCrop>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2</cp:revision>
  <dcterms:created xsi:type="dcterms:W3CDTF">2022-03-14T08:23:00Z</dcterms:created>
  <dcterms:modified xsi:type="dcterms:W3CDTF">2022-03-14T08:24:00Z</dcterms:modified>
</cp:coreProperties>
</file>