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50DB2" w14:paraId="09569C8C" w14:textId="77777777" w:rsidTr="00350DB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50DB2" w14:paraId="79818047"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50DB2" w14:paraId="7B41B5EB" w14:textId="77777777">
                    <w:trPr>
                      <w:tblCellSpacing w:w="0" w:type="dxa"/>
                      <w:jc w:val="center"/>
                    </w:trPr>
                    <w:tc>
                      <w:tcPr>
                        <w:tcW w:w="3000" w:type="dxa"/>
                        <w:hideMark/>
                      </w:tcPr>
                      <w:p w14:paraId="695BA123" w14:textId="30F5AFB9" w:rsidR="00350DB2" w:rsidRDefault="00350DB2">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2ED0264" w14:textId="77777777" w:rsidR="00350DB2" w:rsidRDefault="00350DB2">
                  <w:pPr>
                    <w:jc w:val="center"/>
                    <w:rPr>
                      <w:rFonts w:ascii="Times New Roman" w:eastAsia="Times New Roman" w:hAnsi="Times New Roman" w:cs="Times New Roman"/>
                      <w:sz w:val="20"/>
                      <w:szCs w:val="20"/>
                    </w:rPr>
                  </w:pPr>
                </w:p>
              </w:tc>
            </w:tr>
            <w:tr w:rsidR="00350DB2" w14:paraId="483F84C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50DB2" w14:paraId="0A9AF946"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8C3CCF6" w14:textId="483031E7" w:rsidR="00350DB2" w:rsidRDefault="00350DB2">
                        <w:pPr>
                          <w:jc w:val="center"/>
                          <w:rPr>
                            <w:rFonts w:eastAsia="Times New Roman"/>
                          </w:rPr>
                        </w:pPr>
                        <w:r>
                          <w:rPr>
                            <w:rFonts w:eastAsia="Times New Roman"/>
                            <w:noProof/>
                          </w:rPr>
                          <w:drawing>
                            <wp:inline distT="0" distB="0" distL="0" distR="0" wp14:anchorId="7CB2FB96" wp14:editId="4A8E17B4">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350DB2" w14:paraId="0A9954AF" w14:textId="77777777">
                    <w:trPr>
                      <w:tblCellSpacing w:w="0" w:type="dxa"/>
                    </w:trPr>
                    <w:tc>
                      <w:tcPr>
                        <w:tcW w:w="0" w:type="auto"/>
                        <w:vMerge/>
                        <w:tcBorders>
                          <w:top w:val="nil"/>
                          <w:left w:val="nil"/>
                          <w:bottom w:val="single" w:sz="2" w:space="0" w:color="FFFFFF"/>
                          <w:right w:val="nil"/>
                        </w:tcBorders>
                        <w:vAlign w:val="center"/>
                        <w:hideMark/>
                      </w:tcPr>
                      <w:p w14:paraId="7659A84D" w14:textId="77777777" w:rsidR="00350DB2" w:rsidRDefault="00350DB2">
                        <w:pPr>
                          <w:rPr>
                            <w:rFonts w:eastAsia="Times New Roman"/>
                          </w:rPr>
                        </w:pPr>
                      </w:p>
                    </w:tc>
                    <w:tc>
                      <w:tcPr>
                        <w:tcW w:w="3450" w:type="dxa"/>
                        <w:tcBorders>
                          <w:top w:val="nil"/>
                          <w:left w:val="nil"/>
                          <w:bottom w:val="nil"/>
                          <w:right w:val="nil"/>
                        </w:tcBorders>
                        <w:vAlign w:val="center"/>
                        <w:hideMark/>
                      </w:tcPr>
                      <w:p w14:paraId="689A82D0" w14:textId="77777777" w:rsidR="00350DB2" w:rsidRDefault="00350DB2">
                        <w:pPr>
                          <w:pStyle w:val="Heading1"/>
                          <w:rPr>
                            <w:rFonts w:eastAsia="Times New Roman"/>
                          </w:rPr>
                        </w:pPr>
                        <w:r>
                          <w:rPr>
                            <w:rFonts w:eastAsia="Times New Roman"/>
                          </w:rPr>
                          <w:t>PSNC Newsletter</w:t>
                        </w:r>
                      </w:p>
                    </w:tc>
                  </w:tr>
                  <w:tr w:rsidR="00350DB2" w14:paraId="0341EA34" w14:textId="77777777">
                    <w:trPr>
                      <w:tblCellSpacing w:w="0" w:type="dxa"/>
                    </w:trPr>
                    <w:tc>
                      <w:tcPr>
                        <w:tcW w:w="0" w:type="auto"/>
                        <w:vMerge/>
                        <w:tcBorders>
                          <w:top w:val="nil"/>
                          <w:left w:val="nil"/>
                          <w:bottom w:val="single" w:sz="2" w:space="0" w:color="FFFFFF"/>
                          <w:right w:val="nil"/>
                        </w:tcBorders>
                        <w:vAlign w:val="center"/>
                        <w:hideMark/>
                      </w:tcPr>
                      <w:p w14:paraId="37527F5D" w14:textId="77777777" w:rsidR="00350DB2" w:rsidRDefault="00350DB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2ECD8B1" w14:textId="77777777" w:rsidR="00350DB2" w:rsidRDefault="00350DB2">
                        <w:pPr>
                          <w:pStyle w:val="Heading2"/>
                          <w:rPr>
                            <w:rFonts w:eastAsia="Times New Roman"/>
                            <w:color w:val="93378A"/>
                          </w:rPr>
                        </w:pPr>
                        <w:r>
                          <w:rPr>
                            <w:rFonts w:eastAsia="Times New Roman"/>
                            <w:color w:val="93378A"/>
                          </w:rPr>
                          <w:t>Friday 12th August 2022</w:t>
                        </w:r>
                      </w:p>
                    </w:tc>
                  </w:tr>
                </w:tbl>
                <w:p w14:paraId="12C26F96" w14:textId="77777777" w:rsidR="00350DB2" w:rsidRDefault="00350DB2">
                  <w:pPr>
                    <w:rPr>
                      <w:rFonts w:ascii="Times New Roman" w:eastAsia="Times New Roman" w:hAnsi="Times New Roman" w:cs="Times New Roman"/>
                      <w:sz w:val="20"/>
                      <w:szCs w:val="20"/>
                    </w:rPr>
                  </w:pPr>
                </w:p>
              </w:tc>
            </w:tr>
            <w:tr w:rsidR="00350DB2" w14:paraId="7E69784F" w14:textId="77777777">
              <w:tblPrEx>
                <w:shd w:val="clear" w:color="auto" w:fill="auto"/>
              </w:tblPrEx>
              <w:trPr>
                <w:tblCellSpacing w:w="0" w:type="dxa"/>
                <w:jc w:val="center"/>
              </w:trPr>
              <w:tc>
                <w:tcPr>
                  <w:tcW w:w="9000" w:type="dxa"/>
                  <w:hideMark/>
                </w:tcPr>
                <w:p w14:paraId="47D62C2C" w14:textId="67224E4C" w:rsidR="00350DB2" w:rsidRDefault="00350DB2">
                  <w:pPr>
                    <w:rPr>
                      <w:rFonts w:eastAsia="Times New Roman"/>
                    </w:rPr>
                  </w:pPr>
                  <w:r>
                    <w:rPr>
                      <w:rFonts w:eastAsia="Times New Roman"/>
                      <w:noProof/>
                    </w:rPr>
                    <w:drawing>
                      <wp:inline distT="0" distB="0" distL="0" distR="0" wp14:anchorId="796AA199" wp14:editId="5EFE918A">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350DB2" w14:paraId="7B9DD3BA"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350DB2" w14:paraId="27F97867" w14:textId="77777777">
                    <w:trPr>
                      <w:trHeight w:val="150"/>
                      <w:tblCellSpacing w:w="15" w:type="dxa"/>
                      <w:jc w:val="center"/>
                    </w:trPr>
                    <w:tc>
                      <w:tcPr>
                        <w:tcW w:w="150" w:type="dxa"/>
                        <w:vAlign w:val="center"/>
                        <w:hideMark/>
                      </w:tcPr>
                      <w:p w14:paraId="2F397738" w14:textId="77777777" w:rsidR="00350DB2" w:rsidRDefault="00350DB2" w:rsidP="00350DB2">
                        <w:pPr>
                          <w:spacing w:line="264" w:lineRule="auto"/>
                          <w:rPr>
                            <w:rFonts w:eastAsia="Times New Roman"/>
                          </w:rPr>
                        </w:pPr>
                      </w:p>
                    </w:tc>
                    <w:tc>
                      <w:tcPr>
                        <w:tcW w:w="8700" w:type="dxa"/>
                        <w:vAlign w:val="center"/>
                        <w:hideMark/>
                      </w:tcPr>
                      <w:p w14:paraId="4A9F7762" w14:textId="77777777" w:rsidR="00350DB2" w:rsidRDefault="00350DB2" w:rsidP="00350DB2">
                        <w:pPr>
                          <w:spacing w:line="264" w:lineRule="auto"/>
                          <w:rPr>
                            <w:rFonts w:ascii="Times New Roman" w:eastAsia="Times New Roman" w:hAnsi="Times New Roman" w:cs="Times New Roman"/>
                            <w:sz w:val="20"/>
                            <w:szCs w:val="20"/>
                          </w:rPr>
                        </w:pPr>
                      </w:p>
                    </w:tc>
                    <w:tc>
                      <w:tcPr>
                        <w:tcW w:w="150" w:type="dxa"/>
                        <w:vAlign w:val="center"/>
                        <w:hideMark/>
                      </w:tcPr>
                      <w:p w14:paraId="62B3D4D9" w14:textId="77777777" w:rsidR="00350DB2" w:rsidRDefault="00350DB2" w:rsidP="00350DB2">
                        <w:pPr>
                          <w:spacing w:line="264" w:lineRule="auto"/>
                          <w:rPr>
                            <w:rFonts w:ascii="Times New Roman" w:eastAsia="Times New Roman" w:hAnsi="Times New Roman" w:cs="Times New Roman"/>
                            <w:sz w:val="20"/>
                            <w:szCs w:val="20"/>
                          </w:rPr>
                        </w:pPr>
                      </w:p>
                    </w:tc>
                  </w:tr>
                  <w:tr w:rsidR="00350DB2" w14:paraId="75F9F245" w14:textId="77777777">
                    <w:trPr>
                      <w:tblCellSpacing w:w="15" w:type="dxa"/>
                      <w:jc w:val="center"/>
                    </w:trPr>
                    <w:tc>
                      <w:tcPr>
                        <w:tcW w:w="150" w:type="dxa"/>
                        <w:vAlign w:val="center"/>
                        <w:hideMark/>
                      </w:tcPr>
                      <w:p w14:paraId="288CCCA7" w14:textId="77777777" w:rsidR="00350DB2" w:rsidRDefault="00350DB2" w:rsidP="00350DB2">
                        <w:pPr>
                          <w:spacing w:line="264" w:lineRule="auto"/>
                          <w:rPr>
                            <w:rFonts w:ascii="Times New Roman" w:eastAsia="Times New Roman" w:hAnsi="Times New Roman" w:cs="Times New Roman"/>
                            <w:sz w:val="20"/>
                            <w:szCs w:val="20"/>
                          </w:rPr>
                        </w:pPr>
                      </w:p>
                    </w:tc>
                    <w:tc>
                      <w:tcPr>
                        <w:tcW w:w="8700" w:type="dxa"/>
                        <w:vAlign w:val="center"/>
                        <w:hideMark/>
                      </w:tcPr>
                      <w:p w14:paraId="3C93F637" w14:textId="77777777" w:rsidR="00350DB2" w:rsidRDefault="00350DB2" w:rsidP="00350D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35963C4" w14:textId="77777777" w:rsidR="00350DB2" w:rsidRDefault="00350DB2" w:rsidP="00350D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AC67162">
                            <v:rect id="_x0000_i1032" style="width:468pt;height:1.5pt" o:hrstd="t" o:hr="t" fillcolor="#a0a0a0" stroked="f"/>
                          </w:pict>
                        </w:r>
                      </w:p>
                      <w:p w14:paraId="67550A20" w14:textId="77777777" w:rsidR="00350DB2" w:rsidRDefault="00350DB2" w:rsidP="00350DB2">
                        <w:pPr>
                          <w:pStyle w:val="Heading2"/>
                          <w:spacing w:after="0"/>
                          <w:rPr>
                            <w:rFonts w:eastAsia="Times New Roman"/>
                          </w:rPr>
                        </w:pPr>
                        <w:r>
                          <w:rPr>
                            <w:rFonts w:eastAsia="Times New Roman"/>
                          </w:rPr>
                          <w:t>In this update: Ongoing medicine supply issues; recent PSNC Briefings; CP ITG responds to NHS IT consultation; RTEC FAQs. </w:t>
                        </w:r>
                      </w:p>
                      <w:p w14:paraId="4472691B" w14:textId="77777777" w:rsidR="00350DB2" w:rsidRDefault="00350DB2" w:rsidP="00350D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9F86762">
                            <v:rect id="_x0000_i1033" style="width:468pt;height:1.5pt" o:hrstd="t" o:hr="t" fillcolor="#a0a0a0" stroked="f"/>
                          </w:pict>
                        </w:r>
                      </w:p>
                      <w:p w14:paraId="743717D5" w14:textId="77777777" w:rsidR="00350DB2" w:rsidRDefault="00350DB2" w:rsidP="00350DB2">
                        <w:pPr>
                          <w:pStyle w:val="Heading2"/>
                          <w:spacing w:after="0"/>
                          <w:rPr>
                            <w:rFonts w:eastAsia="Times New Roman"/>
                          </w:rPr>
                        </w:pPr>
                        <w:r>
                          <w:rPr>
                            <w:rFonts w:eastAsia="Times New Roman"/>
                          </w:rPr>
                          <w:t>Ongoing medicine supply issues</w:t>
                        </w:r>
                      </w:p>
                      <w:p w14:paraId="009A3D38" w14:textId="5C632AC4" w:rsidR="00350DB2" w:rsidRDefault="00350DB2" w:rsidP="00350D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is increasingly concerned about the sustained pressures on medicines supply and the very serious impact that this is having on community pharmacy teams and their patients. You may have seen </w:t>
                        </w:r>
                        <w:hyperlink r:id="rId8" w:tgtFrame="_blank" w:tooltip="https://www.express.co.uk/life-style/health/1653521/medicines-drug-shortage-pharmacies-uk-health-news-latest" w:history="1">
                          <w:r>
                            <w:rPr>
                              <w:rStyle w:val="Hyperlink"/>
                              <w:rFonts w:ascii="Tahoma" w:eastAsia="Times New Roman" w:hAnsi="Tahoma" w:cs="Tahoma"/>
                              <w:b/>
                              <w:bCs/>
                              <w:color w:val="4E3487"/>
                              <w:sz w:val="21"/>
                              <w:szCs w:val="21"/>
                            </w:rPr>
                            <w:t>recent national media coverage</w:t>
                          </w:r>
                        </w:hyperlink>
                        <w:r>
                          <w:rPr>
                            <w:rFonts w:ascii="Tahoma" w:eastAsia="Times New Roman" w:hAnsi="Tahoma" w:cs="Tahoma"/>
                            <w:color w:val="303030"/>
                            <w:sz w:val="21"/>
                            <w:szCs w:val="21"/>
                          </w:rPr>
                          <w:t> where we highlighted the immense pressure this is putting pharmacy staff under.</w:t>
                        </w:r>
                        <w:r>
                          <w:rPr>
                            <w:rFonts w:ascii="Tahoma" w:eastAsia="Times New Roman" w:hAnsi="Tahoma" w:cs="Tahoma"/>
                            <w:color w:val="303030"/>
                            <w:sz w:val="21"/>
                            <w:szCs w:val="21"/>
                          </w:rPr>
                          <w:br/>
                        </w:r>
                        <w:r>
                          <w:rPr>
                            <w:rFonts w:ascii="Tahoma" w:eastAsia="Times New Roman" w:hAnsi="Tahoma" w:cs="Tahoma"/>
                            <w:color w:val="303030"/>
                            <w:sz w:val="21"/>
                            <w:szCs w:val="21"/>
                          </w:rPr>
                          <w:br/>
                          <w:t>As part of our work in this area, we are asking contractors and their teams to continue using our regular </w:t>
                        </w:r>
                        <w:hyperlink r:id="rId9" w:tgtFrame="_blank" w:history="1">
                          <w:r>
                            <w:rPr>
                              <w:rStyle w:val="Hyperlink"/>
                              <w:rFonts w:ascii="Tahoma" w:eastAsia="Times New Roman" w:hAnsi="Tahoma" w:cs="Tahoma"/>
                              <w:b/>
                              <w:bCs/>
                              <w:color w:val="4E3487"/>
                              <w:sz w:val="21"/>
                              <w:szCs w:val="21"/>
                            </w:rPr>
                            <w:t>reporting tools</w:t>
                          </w:r>
                        </w:hyperlink>
                        <w:r>
                          <w:rPr>
                            <w:rFonts w:ascii="Tahoma" w:eastAsia="Times New Roman" w:hAnsi="Tahoma" w:cs="Tahoma"/>
                            <w:color w:val="303030"/>
                            <w:sz w:val="21"/>
                            <w:szCs w:val="21"/>
                          </w:rPr>
                          <w:t xml:space="preserve"> to help us to demonstrate the scale of the problems to the Department of Health and Social Care (DHSC) and to support escalations as needed. We have also recently updated our guidance for contractors, including providing some practical tips. </w:t>
                        </w:r>
                      </w:p>
                      <w:p w14:paraId="636C83E2" w14:textId="77777777" w:rsidR="00350DB2" w:rsidRDefault="00350DB2" w:rsidP="00350DB2">
                        <w:pPr>
                          <w:spacing w:line="264" w:lineRule="auto"/>
                          <w:rPr>
                            <w:rFonts w:ascii="Tahoma" w:eastAsia="Times New Roman" w:hAnsi="Tahoma" w:cs="Tahoma"/>
                            <w:color w:val="303030"/>
                            <w:sz w:val="21"/>
                            <w:szCs w:val="21"/>
                          </w:rPr>
                        </w:pPr>
                      </w:p>
                      <w:p w14:paraId="382B441E" w14:textId="77777777" w:rsidR="00350DB2" w:rsidRDefault="00350DB2" w:rsidP="00350DB2">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Read about PSNC's work in this area and our practical tips for contractors</w:t>
                          </w:r>
                        </w:hyperlink>
                      </w:p>
                      <w:p w14:paraId="6EE10445" w14:textId="77777777" w:rsidR="00350DB2" w:rsidRDefault="00350DB2" w:rsidP="00350D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9A30FF0">
                            <v:rect id="_x0000_i1034" style="width:468pt;height:1.5pt" o:hrstd="t" o:hr="t" fillcolor="#a0a0a0" stroked="f"/>
                          </w:pict>
                        </w:r>
                      </w:p>
                      <w:p w14:paraId="496DBA69" w14:textId="77777777" w:rsidR="00350DB2" w:rsidRDefault="00350DB2" w:rsidP="00350DB2">
                        <w:pPr>
                          <w:pStyle w:val="Heading2"/>
                          <w:spacing w:after="0"/>
                          <w:rPr>
                            <w:rFonts w:eastAsia="Times New Roman"/>
                          </w:rPr>
                        </w:pPr>
                        <w:r>
                          <w:rPr>
                            <w:rFonts w:eastAsia="Times New Roman"/>
                          </w:rPr>
                          <w:t>New PSNC briefings </w:t>
                        </w:r>
                      </w:p>
                      <w:p w14:paraId="119524FD" w14:textId="77777777" w:rsidR="00350DB2" w:rsidRDefault="00350DB2" w:rsidP="00350D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regularly publishes briefings on key topics for contractors. Here are some of the most recent PSNC briefings: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 xml:space="preserve">Pharmacy opening hours for the remainder of 2022 and in 2023 </w:t>
                          </w:r>
                        </w:hyperlink>
                        <w:r>
                          <w:rPr>
                            <w:rFonts w:ascii="Tahoma" w:eastAsia="Times New Roman" w:hAnsi="Tahoma" w:cs="Tahoma"/>
                            <w:color w:val="303030"/>
                            <w:sz w:val="21"/>
                            <w:szCs w:val="21"/>
                          </w:rPr>
                          <w:br/>
                          <w:t>Providing guidance for community pharmacy contractors on the Terms of Service opening hours requirements around bank holidays for the remainder of 2022 and 2023.</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Understanding prescription returns and disallowed items</w:t>
                          </w:r>
                        </w:hyperlink>
                        <w:r>
                          <w:rPr>
                            <w:rFonts w:ascii="Tahoma" w:eastAsia="Times New Roman" w:hAnsi="Tahoma" w:cs="Tahoma"/>
                            <w:color w:val="303030"/>
                            <w:sz w:val="21"/>
                            <w:szCs w:val="21"/>
                          </w:rPr>
                          <w:br/>
                          <w:t>This briefing describes the process by which prescriptions are returned or ‘referred back’ to pharmacies for further information, as well as why some items may be disallowed.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How the price concession system operates</w:t>
                          </w:r>
                        </w:hyperlink>
                        <w:r>
                          <w:rPr>
                            <w:rFonts w:ascii="Tahoma" w:eastAsia="Times New Roman" w:hAnsi="Tahoma" w:cs="Tahoma"/>
                            <w:color w:val="303030"/>
                            <w:sz w:val="21"/>
                            <w:szCs w:val="21"/>
                          </w:rPr>
                          <w:br/>
                          <w:t>This factsheet explains how the price concession system works, as well as answering some common queries received from community pharmacy contractors and their teams.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4" w:tgtFrame="_blank" w:history="1">
                          <w:r>
                            <w:rPr>
                              <w:rStyle w:val="Hyperlink"/>
                              <w:rFonts w:ascii="Tahoma" w:eastAsia="Times New Roman" w:hAnsi="Tahoma" w:cs="Tahoma"/>
                              <w:b/>
                              <w:bCs/>
                              <w:color w:val="4E3487"/>
                              <w:sz w:val="21"/>
                              <w:szCs w:val="21"/>
                            </w:rPr>
                            <w:t>Emergency closure checklist for community pharmacy</w:t>
                          </w:r>
                        </w:hyperlink>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t xml:space="preserve">This briefing details the actions which should be undertaken if an emergency situation means a pharmacy needs to close for a short period. </w:t>
                        </w:r>
                      </w:p>
                      <w:p w14:paraId="21B8C565" w14:textId="77777777" w:rsidR="00350DB2" w:rsidRDefault="00350DB2" w:rsidP="00350D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FA7556A">
                            <v:rect id="_x0000_i1035" style="width:468pt;height:1.5pt" o:hrstd="t" o:hr="t" fillcolor="#a0a0a0" stroked="f"/>
                          </w:pict>
                        </w:r>
                      </w:p>
                      <w:p w14:paraId="4879721B" w14:textId="77777777" w:rsidR="00350DB2" w:rsidRDefault="00350DB2" w:rsidP="00350DB2">
                        <w:pPr>
                          <w:pStyle w:val="Heading2"/>
                          <w:spacing w:after="0"/>
                          <w:rPr>
                            <w:rFonts w:eastAsia="Times New Roman"/>
                          </w:rPr>
                        </w:pPr>
                        <w:r>
                          <w:rPr>
                            <w:rFonts w:eastAsia="Times New Roman"/>
                          </w:rPr>
                          <w:t>CP ITG consultation response on NHS digital transformation</w:t>
                        </w:r>
                      </w:p>
                      <w:p w14:paraId="761B5B69" w14:textId="77777777" w:rsidR="00350DB2" w:rsidRDefault="00350DB2" w:rsidP="00350D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Community Pharmacy IT Group (CP ITG), of which PSNC is a member, has submitted a formal response to the Health and Social Care Committee's inquiry into ‘Digital Transformation in the NHS’.</w:t>
                        </w:r>
                        <w:r>
                          <w:rPr>
                            <w:rFonts w:ascii="Tahoma" w:eastAsia="Times New Roman" w:hAnsi="Tahoma" w:cs="Tahoma"/>
                            <w:color w:val="303030"/>
                            <w:sz w:val="21"/>
                            <w:szCs w:val="21"/>
                          </w:rPr>
                          <w:br/>
                        </w:r>
                        <w:r>
                          <w:rPr>
                            <w:rFonts w:ascii="Tahoma" w:eastAsia="Times New Roman" w:hAnsi="Tahoma" w:cs="Tahoma"/>
                            <w:color w:val="303030"/>
                            <w:sz w:val="21"/>
                            <w:szCs w:val="21"/>
                          </w:rPr>
                          <w:br/>
                          <w:t>The inquiry is exploring the current use of digital technology within the NHS and is examining changes that could result in improved service delivery and patient outcomes. In its response, the CP ITG has argued that pharmacy teams should have access to up-to-date records information and a framework for the development of pharmacy IT should be developed.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Read the CP ITG's Inquiry response</w:t>
                          </w:r>
                        </w:hyperlink>
                        <w:r>
                          <w:rPr>
                            <w:rFonts w:ascii="Tahoma" w:eastAsia="Times New Roman" w:hAnsi="Tahoma" w:cs="Tahoma"/>
                            <w:color w:val="303030"/>
                            <w:sz w:val="21"/>
                            <w:szCs w:val="21"/>
                          </w:rPr>
                          <w:t xml:space="preserve"> </w:t>
                        </w:r>
                      </w:p>
                      <w:p w14:paraId="128EB0AD" w14:textId="77777777" w:rsidR="00350DB2" w:rsidRDefault="00350DB2" w:rsidP="00350D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1847437">
                            <v:rect id="_x0000_i1036" style="width:468pt;height:1.5pt" o:hrstd="t" o:hr="t" fillcolor="#a0a0a0" stroked="f"/>
                          </w:pict>
                        </w:r>
                      </w:p>
                      <w:p w14:paraId="071C951F" w14:textId="77777777" w:rsidR="00350DB2" w:rsidRDefault="00350DB2" w:rsidP="00350DB2">
                        <w:pPr>
                          <w:pStyle w:val="Heading2"/>
                          <w:spacing w:after="0"/>
                          <w:rPr>
                            <w:rFonts w:eastAsia="Times New Roman"/>
                          </w:rPr>
                        </w:pPr>
                        <w:r>
                          <w:rPr>
                            <w:rFonts w:eastAsia="Times New Roman"/>
                          </w:rPr>
                          <w:t>RTEC FAQs published</w:t>
                        </w:r>
                      </w:p>
                      <w:p w14:paraId="6E91898B" w14:textId="77777777" w:rsidR="00350DB2" w:rsidRDefault="00350DB2" w:rsidP="00350D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the rollout of the Department for Work and Pensions (DWP) functionality for Real Time Exemption Checking (RTEC) to more community pharmacies, PSNC has published a series of FAQs that answer some of the common queries on this topic.</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6" w:tgtFrame="_blank" w:history="1">
                          <w:r>
                            <w:rPr>
                              <w:rStyle w:val="Hyperlink"/>
                              <w:rFonts w:ascii="Tahoma" w:eastAsia="Times New Roman" w:hAnsi="Tahoma" w:cs="Tahoma"/>
                              <w:b/>
                              <w:bCs/>
                              <w:color w:val="4E3487"/>
                              <w:sz w:val="21"/>
                              <w:szCs w:val="21"/>
                            </w:rPr>
                            <w:t>Read the RTEC FAQs</w:t>
                          </w:r>
                        </w:hyperlink>
                      </w:p>
                    </w:tc>
                    <w:tc>
                      <w:tcPr>
                        <w:tcW w:w="150" w:type="dxa"/>
                        <w:vAlign w:val="center"/>
                        <w:hideMark/>
                      </w:tcPr>
                      <w:p w14:paraId="60569E0B" w14:textId="77777777" w:rsidR="00350DB2" w:rsidRDefault="00350DB2" w:rsidP="00350DB2">
                        <w:pPr>
                          <w:spacing w:line="264" w:lineRule="auto"/>
                          <w:rPr>
                            <w:rFonts w:ascii="Tahoma" w:eastAsia="Times New Roman" w:hAnsi="Tahoma" w:cs="Tahoma"/>
                            <w:color w:val="303030"/>
                            <w:sz w:val="21"/>
                            <w:szCs w:val="21"/>
                          </w:rPr>
                        </w:pPr>
                      </w:p>
                    </w:tc>
                  </w:tr>
                  <w:tr w:rsidR="00350DB2" w14:paraId="7EDDB3A9" w14:textId="77777777">
                    <w:trPr>
                      <w:trHeight w:val="150"/>
                      <w:tblCellSpacing w:w="15" w:type="dxa"/>
                      <w:jc w:val="center"/>
                    </w:trPr>
                    <w:tc>
                      <w:tcPr>
                        <w:tcW w:w="150" w:type="dxa"/>
                        <w:vAlign w:val="center"/>
                        <w:hideMark/>
                      </w:tcPr>
                      <w:p w14:paraId="10D03EF3" w14:textId="77777777" w:rsidR="00350DB2" w:rsidRDefault="00350DB2" w:rsidP="00350DB2">
                        <w:pPr>
                          <w:spacing w:line="264" w:lineRule="auto"/>
                          <w:rPr>
                            <w:rFonts w:ascii="Times New Roman" w:eastAsia="Times New Roman" w:hAnsi="Times New Roman" w:cs="Times New Roman"/>
                            <w:sz w:val="20"/>
                            <w:szCs w:val="20"/>
                          </w:rPr>
                        </w:pPr>
                      </w:p>
                    </w:tc>
                    <w:tc>
                      <w:tcPr>
                        <w:tcW w:w="8700" w:type="dxa"/>
                        <w:vAlign w:val="center"/>
                        <w:hideMark/>
                      </w:tcPr>
                      <w:p w14:paraId="200BA9C0" w14:textId="77777777" w:rsidR="00350DB2" w:rsidRDefault="00350DB2" w:rsidP="00350DB2">
                        <w:pPr>
                          <w:spacing w:line="264" w:lineRule="auto"/>
                          <w:rPr>
                            <w:rFonts w:ascii="Times New Roman" w:eastAsia="Times New Roman" w:hAnsi="Times New Roman" w:cs="Times New Roman"/>
                            <w:sz w:val="20"/>
                            <w:szCs w:val="20"/>
                          </w:rPr>
                        </w:pPr>
                      </w:p>
                    </w:tc>
                    <w:tc>
                      <w:tcPr>
                        <w:tcW w:w="150" w:type="dxa"/>
                        <w:vAlign w:val="center"/>
                        <w:hideMark/>
                      </w:tcPr>
                      <w:p w14:paraId="7A7BEA70" w14:textId="77777777" w:rsidR="00350DB2" w:rsidRDefault="00350DB2" w:rsidP="00350DB2">
                        <w:pPr>
                          <w:spacing w:line="264" w:lineRule="auto"/>
                          <w:rPr>
                            <w:rFonts w:ascii="Times New Roman" w:eastAsia="Times New Roman" w:hAnsi="Times New Roman" w:cs="Times New Roman"/>
                            <w:sz w:val="20"/>
                            <w:szCs w:val="20"/>
                          </w:rPr>
                        </w:pPr>
                      </w:p>
                    </w:tc>
                  </w:tr>
                </w:tbl>
                <w:p w14:paraId="1A4246AB" w14:textId="77777777" w:rsidR="00350DB2" w:rsidRDefault="00350DB2" w:rsidP="00350DB2">
                  <w:pPr>
                    <w:spacing w:line="264" w:lineRule="auto"/>
                    <w:rPr>
                      <w:rFonts w:ascii="Times New Roman" w:eastAsia="Times New Roman" w:hAnsi="Times New Roman" w:cs="Times New Roman"/>
                      <w:sz w:val="20"/>
                      <w:szCs w:val="20"/>
                    </w:rPr>
                  </w:pPr>
                </w:p>
              </w:tc>
            </w:tr>
          </w:tbl>
          <w:p w14:paraId="70D07CF4" w14:textId="77777777" w:rsidR="00350DB2" w:rsidRDefault="00350DB2">
            <w:pPr>
              <w:jc w:val="center"/>
              <w:rPr>
                <w:rFonts w:ascii="Times New Roman" w:eastAsia="Times New Roman" w:hAnsi="Times New Roman" w:cs="Times New Roman"/>
                <w:sz w:val="20"/>
                <w:szCs w:val="20"/>
              </w:rPr>
            </w:pPr>
          </w:p>
        </w:tc>
      </w:tr>
      <w:tr w:rsidR="00350DB2" w14:paraId="6C381A53" w14:textId="77777777" w:rsidTr="00350DB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50DB2" w14:paraId="7A937DD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50DB2" w14:paraId="48EE35C5" w14:textId="77777777">
                    <w:trPr>
                      <w:tblCellSpacing w:w="0" w:type="dxa"/>
                      <w:jc w:val="center"/>
                    </w:trPr>
                    <w:tc>
                      <w:tcPr>
                        <w:tcW w:w="3000" w:type="dxa"/>
                        <w:tcMar>
                          <w:top w:w="30" w:type="dxa"/>
                          <w:left w:w="75" w:type="dxa"/>
                          <w:bottom w:w="30" w:type="dxa"/>
                          <w:right w:w="75" w:type="dxa"/>
                        </w:tcMar>
                        <w:hideMark/>
                      </w:tcPr>
                      <w:p w14:paraId="5AC05CBB" w14:textId="77777777" w:rsidR="00350DB2" w:rsidRDefault="00350DB2">
                        <w:pPr>
                          <w:pStyle w:val="Heading4"/>
                          <w:jc w:val="center"/>
                          <w:rPr>
                            <w:rFonts w:eastAsia="Times New Roman"/>
                          </w:rPr>
                        </w:pPr>
                        <w:r>
                          <w:rPr>
                            <w:rFonts w:eastAsia="Times New Roman"/>
                          </w:rPr>
                          <w:lastRenderedPageBreak/>
                          <w:t>Pharmaceutical Services Negotiating Committee</w:t>
                        </w:r>
                      </w:p>
                      <w:p w14:paraId="20B262C7" w14:textId="74F6520F" w:rsidR="00350DB2" w:rsidRDefault="00350DB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16B1800" wp14:editId="3E52438D">
                              <wp:extent cx="609600" cy="304800"/>
                              <wp:effectExtent l="0" t="0" r="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484B6C8" wp14:editId="27C2F9BA">
                              <wp:extent cx="609600" cy="304800"/>
                              <wp:effectExtent l="0" t="0" r="0" b="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264D705" wp14:editId="6931BBB5">
                              <wp:extent cx="609600" cy="304800"/>
                              <wp:effectExtent l="0" t="0" r="0" b="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199B5C7" wp14:editId="1B7FD538">
                              <wp:extent cx="609600" cy="304800"/>
                              <wp:effectExtent l="0" t="0" r="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68434E5" w14:textId="77777777" w:rsidR="00350DB2" w:rsidRDefault="00350DB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50DB2" w14:paraId="6D031BA0" w14:textId="77777777" w:rsidTr="00350DB2">
                    <w:trPr>
                      <w:trHeight w:val="41"/>
                      <w:tblCellSpacing w:w="0" w:type="dxa"/>
                      <w:jc w:val="center"/>
                    </w:trPr>
                    <w:tc>
                      <w:tcPr>
                        <w:tcW w:w="9000" w:type="dxa"/>
                        <w:tcMar>
                          <w:top w:w="150" w:type="dxa"/>
                          <w:left w:w="0" w:type="dxa"/>
                          <w:bottom w:w="0" w:type="dxa"/>
                          <w:right w:w="0" w:type="dxa"/>
                        </w:tcMar>
                        <w:vAlign w:val="center"/>
                        <w:hideMark/>
                      </w:tcPr>
                      <w:p w14:paraId="759194B7" w14:textId="281F72F6" w:rsidR="00350DB2" w:rsidRDefault="00350DB2" w:rsidP="00350DB2">
                        <w:pPr>
                          <w:rPr>
                            <w:rFonts w:ascii="Arial" w:eastAsia="Times New Roman" w:hAnsi="Arial" w:cs="Arial"/>
                            <w:color w:val="FFFFFF"/>
                            <w:sz w:val="17"/>
                            <w:szCs w:val="17"/>
                          </w:rPr>
                        </w:pPr>
                      </w:p>
                    </w:tc>
                  </w:tr>
                </w:tbl>
                <w:p w14:paraId="2B47BFBD" w14:textId="77777777" w:rsidR="00350DB2" w:rsidRDefault="00350DB2">
                  <w:pPr>
                    <w:jc w:val="center"/>
                    <w:rPr>
                      <w:rFonts w:ascii="Times New Roman" w:eastAsia="Times New Roman" w:hAnsi="Times New Roman" w:cs="Times New Roman"/>
                      <w:sz w:val="20"/>
                      <w:szCs w:val="20"/>
                    </w:rPr>
                  </w:pPr>
                </w:p>
              </w:tc>
            </w:tr>
          </w:tbl>
          <w:p w14:paraId="074E91B2" w14:textId="77777777" w:rsidR="00350DB2" w:rsidRDefault="00350DB2">
            <w:pPr>
              <w:jc w:val="center"/>
              <w:rPr>
                <w:rFonts w:ascii="Times New Roman" w:eastAsia="Times New Roman" w:hAnsi="Times New Roman" w:cs="Times New Roman"/>
                <w:sz w:val="20"/>
                <w:szCs w:val="20"/>
              </w:rPr>
            </w:pPr>
          </w:p>
        </w:tc>
      </w:tr>
    </w:tbl>
    <w:p w14:paraId="3F56D8FD" w14:textId="7AA576FE" w:rsidR="00350DB2" w:rsidRDefault="00350DB2" w:rsidP="00350DB2">
      <w:pPr>
        <w:rPr>
          <w:rFonts w:eastAsia="Times New Roman"/>
        </w:rPr>
      </w:pPr>
      <w:r>
        <w:rPr>
          <w:rFonts w:eastAsia="Times New Roman"/>
          <w:noProof/>
        </w:rPr>
        <w:drawing>
          <wp:inline distT="0" distB="0" distL="0" distR="0" wp14:anchorId="10DF80C4" wp14:editId="1645464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23B81D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B2"/>
    <w:rsid w:val="00350DB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A8C9"/>
  <w15:chartTrackingRefBased/>
  <w15:docId w15:val="{7F71DFE1-5265-48FB-8347-896F7F9E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B2"/>
    <w:rPr>
      <w:rFonts w:ascii="Calibri" w:hAnsi="Calibri" w:cs="Calibri"/>
      <w:lang w:eastAsia="en-GB"/>
    </w:rPr>
  </w:style>
  <w:style w:type="paragraph" w:styleId="Heading1">
    <w:name w:val="heading 1"/>
    <w:basedOn w:val="Normal"/>
    <w:link w:val="Heading1Char"/>
    <w:uiPriority w:val="9"/>
    <w:qFormat/>
    <w:rsid w:val="00350DB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50DB2"/>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350DB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DB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50DB2"/>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350DB2"/>
    <w:rPr>
      <w:rFonts w:ascii="Tahoma" w:hAnsi="Tahoma" w:cs="Tahoma"/>
      <w:b/>
      <w:bCs/>
      <w:color w:val="FFFFFF"/>
      <w:sz w:val="18"/>
      <w:szCs w:val="18"/>
      <w:lang w:eastAsia="en-GB"/>
    </w:rPr>
  </w:style>
  <w:style w:type="paragraph" w:styleId="NormalWeb">
    <w:name w:val="Normal (Web)"/>
    <w:basedOn w:val="Normal"/>
    <w:uiPriority w:val="99"/>
    <w:semiHidden/>
    <w:unhideWhenUsed/>
    <w:rsid w:val="00350DB2"/>
    <w:pPr>
      <w:spacing w:before="100" w:beforeAutospacing="1" w:after="100" w:afterAutospacing="1"/>
    </w:pPr>
  </w:style>
  <w:style w:type="character" w:styleId="Strong">
    <w:name w:val="Strong"/>
    <w:basedOn w:val="DefaultParagraphFont"/>
    <w:uiPriority w:val="22"/>
    <w:qFormat/>
    <w:rsid w:val="00350DB2"/>
    <w:rPr>
      <w:b/>
      <w:bCs/>
    </w:rPr>
  </w:style>
  <w:style w:type="character" w:styleId="Hyperlink">
    <w:name w:val="Hyperlink"/>
    <w:basedOn w:val="DefaultParagraphFont"/>
    <w:uiPriority w:val="99"/>
    <w:semiHidden/>
    <w:unhideWhenUsed/>
    <w:rsid w:val="00350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94b15bb851&amp;e=d19e9fd41c" TargetMode="External"/><Relationship Id="rId13" Type="http://schemas.openxmlformats.org/officeDocument/2006/relationships/hyperlink" Target="https://psnc.us7.list-manage.com/track/click?u=86d41ab7fa4c7c2c5d7210782&amp;id=43ae7f9686&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1e9baa3c87&amp;e=d19e9fd41c"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8569c0871b&amp;e=d19e9fd41c" TargetMode="External"/><Relationship Id="rId17" Type="http://schemas.openxmlformats.org/officeDocument/2006/relationships/hyperlink" Target="https://psnc.us7.list-manage.com/track/click?u=86d41ab7fa4c7c2c5d7210782&amp;id=3ffa005735&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snc.us7.list-manage.com/track/click?u=86d41ab7fa4c7c2c5d7210782&amp;id=accdbabe18&amp;e=d19e9fd41c" TargetMode="External"/><Relationship Id="rId20" Type="http://schemas.openxmlformats.org/officeDocument/2006/relationships/hyperlink" Target="https://psnc.us7.list-manage.com/track/click?u=86d41ab7fa4c7c2c5d7210782&amp;id=626dde852b&amp;e=d19e9fd41c" TargetMode="External"/><Relationship Id="rId29" Type="http://schemas.openxmlformats.org/officeDocument/2006/relationships/hyperlink" Target="mailto:info@psnc.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2b2f1213e2&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f010d1e37a&amp;e=d19e9fd41c" TargetMode="External"/><Relationship Id="rId23" Type="http://schemas.openxmlformats.org/officeDocument/2006/relationships/hyperlink" Target="https://psnc.us7.list-manage.com/track/click?u=86d41ab7fa4c7c2c5d7210782&amp;id=8b0044b90d&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588e8a5969&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1c12be72f7&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979ac029b8&amp;e=d19e9fd41c" TargetMode="External"/><Relationship Id="rId14" Type="http://schemas.openxmlformats.org/officeDocument/2006/relationships/hyperlink" Target="https://psnc.us7.list-manage.com/track/click?u=86d41ab7fa4c7c2c5d7210782&amp;id=c199ecf03c&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2022-08-15T07:44:00Z</dcterms:created>
  <dcterms:modified xsi:type="dcterms:W3CDTF">2022-08-15T07:47:00Z</dcterms:modified>
</cp:coreProperties>
</file>