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9408A8" w14:paraId="61DEDF85" w14:textId="77777777" w:rsidTr="009408A8">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9408A8" w14:paraId="02FAA8C6"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9408A8" w14:paraId="201642D6" w14:textId="77777777">
                    <w:trPr>
                      <w:tblCellSpacing w:w="0" w:type="dxa"/>
                      <w:jc w:val="center"/>
                    </w:trPr>
                    <w:tc>
                      <w:tcPr>
                        <w:tcW w:w="3000" w:type="dxa"/>
                        <w:hideMark/>
                      </w:tcPr>
                      <w:p w14:paraId="016F2620" w14:textId="5CC92ED1" w:rsidR="009408A8" w:rsidRDefault="009408A8">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110EE1D7" w14:textId="77777777" w:rsidR="009408A8" w:rsidRDefault="009408A8">
                  <w:pPr>
                    <w:jc w:val="center"/>
                    <w:rPr>
                      <w:rFonts w:ascii="Times New Roman" w:eastAsia="Times New Roman" w:hAnsi="Times New Roman" w:cs="Times New Roman"/>
                      <w:sz w:val="20"/>
                      <w:szCs w:val="20"/>
                    </w:rPr>
                  </w:pPr>
                </w:p>
              </w:tc>
            </w:tr>
            <w:tr w:rsidR="009408A8" w14:paraId="0CD0694B"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9408A8" w14:paraId="6FD4CDFB"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7EF3F396" w14:textId="0814A511" w:rsidR="009408A8" w:rsidRDefault="009408A8">
                        <w:pPr>
                          <w:jc w:val="center"/>
                          <w:rPr>
                            <w:rFonts w:eastAsia="Times New Roman"/>
                          </w:rPr>
                        </w:pPr>
                        <w:r>
                          <w:rPr>
                            <w:rFonts w:eastAsia="Times New Roman"/>
                            <w:noProof/>
                          </w:rPr>
                          <w:drawing>
                            <wp:inline distT="0" distB="0" distL="0" distR="0" wp14:anchorId="06DC937A" wp14:editId="69E81904">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9408A8" w14:paraId="458ABF17" w14:textId="77777777">
                    <w:trPr>
                      <w:tblCellSpacing w:w="0" w:type="dxa"/>
                    </w:trPr>
                    <w:tc>
                      <w:tcPr>
                        <w:tcW w:w="0" w:type="auto"/>
                        <w:vMerge/>
                        <w:tcBorders>
                          <w:top w:val="nil"/>
                          <w:left w:val="nil"/>
                          <w:bottom w:val="single" w:sz="2" w:space="0" w:color="FFFFFF"/>
                          <w:right w:val="nil"/>
                        </w:tcBorders>
                        <w:vAlign w:val="center"/>
                        <w:hideMark/>
                      </w:tcPr>
                      <w:p w14:paraId="51EF0633" w14:textId="77777777" w:rsidR="009408A8" w:rsidRDefault="009408A8">
                        <w:pPr>
                          <w:rPr>
                            <w:rFonts w:eastAsia="Times New Roman"/>
                          </w:rPr>
                        </w:pPr>
                      </w:p>
                    </w:tc>
                    <w:tc>
                      <w:tcPr>
                        <w:tcW w:w="3450" w:type="dxa"/>
                        <w:tcBorders>
                          <w:top w:val="nil"/>
                          <w:left w:val="nil"/>
                          <w:bottom w:val="nil"/>
                          <w:right w:val="nil"/>
                        </w:tcBorders>
                        <w:vAlign w:val="center"/>
                        <w:hideMark/>
                      </w:tcPr>
                      <w:p w14:paraId="59CDC1A5" w14:textId="77777777" w:rsidR="009408A8" w:rsidRDefault="009408A8">
                        <w:pPr>
                          <w:pStyle w:val="Heading1"/>
                          <w:rPr>
                            <w:rFonts w:eastAsia="Times New Roman"/>
                          </w:rPr>
                        </w:pPr>
                        <w:r>
                          <w:rPr>
                            <w:rFonts w:eastAsia="Times New Roman"/>
                          </w:rPr>
                          <w:t>PSNC Newsletter</w:t>
                        </w:r>
                      </w:p>
                    </w:tc>
                  </w:tr>
                  <w:tr w:rsidR="009408A8" w14:paraId="16C6C63D" w14:textId="77777777">
                    <w:trPr>
                      <w:tblCellSpacing w:w="0" w:type="dxa"/>
                    </w:trPr>
                    <w:tc>
                      <w:tcPr>
                        <w:tcW w:w="0" w:type="auto"/>
                        <w:vMerge/>
                        <w:tcBorders>
                          <w:top w:val="nil"/>
                          <w:left w:val="nil"/>
                          <w:bottom w:val="single" w:sz="2" w:space="0" w:color="FFFFFF"/>
                          <w:right w:val="nil"/>
                        </w:tcBorders>
                        <w:vAlign w:val="center"/>
                        <w:hideMark/>
                      </w:tcPr>
                      <w:p w14:paraId="76D1C1A0" w14:textId="77777777" w:rsidR="009408A8" w:rsidRDefault="009408A8">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67FE0305" w14:textId="77777777" w:rsidR="009408A8" w:rsidRDefault="009408A8">
                        <w:pPr>
                          <w:pStyle w:val="Heading2"/>
                          <w:rPr>
                            <w:rFonts w:eastAsia="Times New Roman"/>
                            <w:color w:val="93378A"/>
                          </w:rPr>
                        </w:pPr>
                        <w:r>
                          <w:rPr>
                            <w:rFonts w:eastAsia="Times New Roman"/>
                            <w:color w:val="93378A"/>
                          </w:rPr>
                          <w:t>Wednesday 7th September 2022</w:t>
                        </w:r>
                      </w:p>
                    </w:tc>
                  </w:tr>
                </w:tbl>
                <w:p w14:paraId="62AFC975" w14:textId="77777777" w:rsidR="009408A8" w:rsidRDefault="009408A8">
                  <w:pPr>
                    <w:rPr>
                      <w:rFonts w:ascii="Times New Roman" w:eastAsia="Times New Roman" w:hAnsi="Times New Roman" w:cs="Times New Roman"/>
                      <w:sz w:val="20"/>
                      <w:szCs w:val="20"/>
                    </w:rPr>
                  </w:pPr>
                </w:p>
              </w:tc>
            </w:tr>
            <w:tr w:rsidR="009408A8" w14:paraId="47906A20" w14:textId="77777777">
              <w:tblPrEx>
                <w:shd w:val="clear" w:color="auto" w:fill="auto"/>
              </w:tblPrEx>
              <w:trPr>
                <w:tblCellSpacing w:w="0" w:type="dxa"/>
                <w:jc w:val="center"/>
              </w:trPr>
              <w:tc>
                <w:tcPr>
                  <w:tcW w:w="9000" w:type="dxa"/>
                  <w:hideMark/>
                </w:tcPr>
                <w:p w14:paraId="32642947" w14:textId="197CFCC6" w:rsidR="009408A8" w:rsidRDefault="009408A8">
                  <w:pPr>
                    <w:rPr>
                      <w:rFonts w:eastAsia="Times New Roman"/>
                    </w:rPr>
                  </w:pPr>
                  <w:r>
                    <w:rPr>
                      <w:rFonts w:eastAsia="Times New Roman"/>
                      <w:noProof/>
                    </w:rPr>
                    <w:drawing>
                      <wp:inline distT="0" distB="0" distL="0" distR="0" wp14:anchorId="57126737" wp14:editId="38F13B4E">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9408A8" w14:paraId="7253385B"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9408A8" w14:paraId="10F823DC" w14:textId="77777777">
                    <w:trPr>
                      <w:trHeight w:val="150"/>
                      <w:tblCellSpacing w:w="15" w:type="dxa"/>
                      <w:jc w:val="center"/>
                    </w:trPr>
                    <w:tc>
                      <w:tcPr>
                        <w:tcW w:w="150" w:type="dxa"/>
                        <w:vAlign w:val="center"/>
                        <w:hideMark/>
                      </w:tcPr>
                      <w:p w14:paraId="0A442598" w14:textId="77777777" w:rsidR="009408A8" w:rsidRDefault="009408A8" w:rsidP="009408A8">
                        <w:pPr>
                          <w:spacing w:line="264" w:lineRule="auto"/>
                          <w:rPr>
                            <w:rFonts w:eastAsia="Times New Roman"/>
                          </w:rPr>
                        </w:pPr>
                      </w:p>
                    </w:tc>
                    <w:tc>
                      <w:tcPr>
                        <w:tcW w:w="8700" w:type="dxa"/>
                        <w:vAlign w:val="center"/>
                        <w:hideMark/>
                      </w:tcPr>
                      <w:p w14:paraId="7362F522" w14:textId="77777777" w:rsidR="009408A8" w:rsidRDefault="009408A8" w:rsidP="009408A8">
                        <w:pPr>
                          <w:spacing w:line="264" w:lineRule="auto"/>
                          <w:rPr>
                            <w:rFonts w:ascii="Times New Roman" w:eastAsia="Times New Roman" w:hAnsi="Times New Roman" w:cs="Times New Roman"/>
                            <w:sz w:val="20"/>
                            <w:szCs w:val="20"/>
                          </w:rPr>
                        </w:pPr>
                      </w:p>
                    </w:tc>
                    <w:tc>
                      <w:tcPr>
                        <w:tcW w:w="150" w:type="dxa"/>
                        <w:vAlign w:val="center"/>
                        <w:hideMark/>
                      </w:tcPr>
                      <w:p w14:paraId="36630D0B" w14:textId="77777777" w:rsidR="009408A8" w:rsidRDefault="009408A8" w:rsidP="009408A8">
                        <w:pPr>
                          <w:spacing w:line="264" w:lineRule="auto"/>
                          <w:rPr>
                            <w:rFonts w:ascii="Times New Roman" w:eastAsia="Times New Roman" w:hAnsi="Times New Roman" w:cs="Times New Roman"/>
                            <w:sz w:val="20"/>
                            <w:szCs w:val="20"/>
                          </w:rPr>
                        </w:pPr>
                      </w:p>
                    </w:tc>
                  </w:tr>
                  <w:tr w:rsidR="009408A8" w14:paraId="42526D5E" w14:textId="77777777">
                    <w:trPr>
                      <w:tblCellSpacing w:w="15" w:type="dxa"/>
                      <w:jc w:val="center"/>
                    </w:trPr>
                    <w:tc>
                      <w:tcPr>
                        <w:tcW w:w="150" w:type="dxa"/>
                        <w:vAlign w:val="center"/>
                        <w:hideMark/>
                      </w:tcPr>
                      <w:p w14:paraId="1A845FA1" w14:textId="77777777" w:rsidR="009408A8" w:rsidRDefault="009408A8" w:rsidP="009408A8">
                        <w:pPr>
                          <w:spacing w:line="264" w:lineRule="auto"/>
                          <w:rPr>
                            <w:rFonts w:ascii="Times New Roman" w:eastAsia="Times New Roman" w:hAnsi="Times New Roman" w:cs="Times New Roman"/>
                            <w:sz w:val="20"/>
                            <w:szCs w:val="20"/>
                          </w:rPr>
                        </w:pPr>
                      </w:p>
                    </w:tc>
                    <w:tc>
                      <w:tcPr>
                        <w:tcW w:w="8700" w:type="dxa"/>
                        <w:vAlign w:val="center"/>
                        <w:hideMark/>
                      </w:tcPr>
                      <w:p w14:paraId="63555982" w14:textId="77777777" w:rsidR="009408A8" w:rsidRDefault="009408A8" w:rsidP="009408A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5C57CF01" w14:textId="77777777" w:rsidR="009408A8" w:rsidRDefault="009408A8" w:rsidP="009408A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80E9626">
                            <v:rect id="_x0000_i1032" style="width:468pt;height:1.5pt" o:hrstd="t" o:hr="t" fillcolor="#a0a0a0" stroked="f"/>
                          </w:pict>
                        </w:r>
                      </w:p>
                      <w:p w14:paraId="2FAD4017" w14:textId="77777777" w:rsidR="009408A8" w:rsidRDefault="009408A8" w:rsidP="009408A8">
                        <w:pPr>
                          <w:pStyle w:val="Heading2"/>
                          <w:spacing w:after="0"/>
                          <w:rPr>
                            <w:rFonts w:eastAsia="Times New Roman"/>
                          </w:rPr>
                        </w:pPr>
                        <w:r>
                          <w:rPr>
                            <w:rFonts w:eastAsia="Times New Roman"/>
                          </w:rPr>
                          <w:t>In this update: PSNC contacts new Government team; price concessions webinar; BOPA cancer training; flu vaccination FAQs.</w:t>
                        </w:r>
                      </w:p>
                      <w:p w14:paraId="24808D52" w14:textId="77777777" w:rsidR="009408A8" w:rsidRDefault="009408A8" w:rsidP="009408A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2A32298">
                            <v:rect id="_x0000_i1033" style="width:468pt;height:1.5pt" o:hrstd="t" o:hr="t" fillcolor="#a0a0a0" stroked="f"/>
                          </w:pict>
                        </w:r>
                      </w:p>
                      <w:p w14:paraId="72BA49E5" w14:textId="77777777" w:rsidR="009408A8" w:rsidRDefault="009408A8" w:rsidP="009408A8">
                        <w:pPr>
                          <w:pStyle w:val="Heading3"/>
                          <w:spacing w:after="0"/>
                          <w:rPr>
                            <w:rFonts w:eastAsia="Times New Roman"/>
                          </w:rPr>
                        </w:pPr>
                        <w:r>
                          <w:rPr>
                            <w:rStyle w:val="Strong"/>
                            <w:rFonts w:eastAsia="Times New Roman"/>
                            <w:b/>
                            <w:bCs/>
                          </w:rPr>
                          <w:t>New Prime Minister and Health Secretary appointed</w:t>
                        </w:r>
                      </w:p>
                      <w:p w14:paraId="6FB1BE7D" w14:textId="77777777" w:rsidR="009408A8" w:rsidRDefault="009408A8" w:rsidP="009408A8">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has begun work to engage with the new Prime Minister and Secretary of State for Health and Social Care, welcoming them to their roles and ensuring they are aware of the immense value of the community pharmacy sector.</w:t>
                        </w:r>
                        <w:r>
                          <w:rPr>
                            <w:rFonts w:ascii="Tahoma" w:hAnsi="Tahoma" w:cs="Tahoma"/>
                            <w:color w:val="303030"/>
                            <w:sz w:val="21"/>
                            <w:szCs w:val="21"/>
                          </w:rPr>
                          <w:br/>
                        </w:r>
                        <w:r>
                          <w:rPr>
                            <w:rFonts w:ascii="Tahoma" w:hAnsi="Tahoma" w:cs="Tahoma"/>
                            <w:color w:val="303030"/>
                            <w:sz w:val="21"/>
                            <w:szCs w:val="21"/>
                          </w:rPr>
                          <w:br/>
                          <w:t>Liz Truss, MP for South West Norfolk, was formally appointed as Prime Minister by HM the Queen yesterday and she selected Thérèse Coffey, MP for Suffolk Coastal, as her Secretary of State for Health and Social Care.</w:t>
                        </w:r>
                        <w:r>
                          <w:rPr>
                            <w:rFonts w:ascii="Tahoma" w:hAnsi="Tahoma" w:cs="Tahoma"/>
                            <w:color w:val="303030"/>
                            <w:sz w:val="21"/>
                            <w:szCs w:val="21"/>
                          </w:rPr>
                          <w:br/>
                        </w:r>
                        <w:r>
                          <w:rPr>
                            <w:rFonts w:ascii="Tahoma" w:hAnsi="Tahoma" w:cs="Tahoma"/>
                            <w:color w:val="303030"/>
                            <w:sz w:val="21"/>
                            <w:szCs w:val="21"/>
                          </w:rPr>
                          <w:br/>
                          <w:t>PSNC has already been in contact with this new Government team to ensure they know both the value of community pharmacy, and the critical challenges that contractors are currently facing as the economic outlook worsens.</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Read more</w:t>
                          </w:r>
                        </w:hyperlink>
                      </w:p>
                      <w:p w14:paraId="10E5BB9F" w14:textId="77777777" w:rsidR="009408A8" w:rsidRDefault="009408A8" w:rsidP="009408A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773058D">
                            <v:rect id="_x0000_i1034" style="width:468pt;height:1.5pt" o:hrstd="t" o:hr="t" fillcolor="#a0a0a0" stroked="f"/>
                          </w:pict>
                        </w:r>
                      </w:p>
                      <w:p w14:paraId="585B8020" w14:textId="77777777" w:rsidR="009408A8" w:rsidRDefault="009408A8" w:rsidP="009408A8">
                        <w:pPr>
                          <w:pStyle w:val="Heading3"/>
                          <w:spacing w:after="0"/>
                          <w:rPr>
                            <w:rFonts w:eastAsia="Times New Roman"/>
                          </w:rPr>
                        </w:pPr>
                        <w:r>
                          <w:rPr>
                            <w:rFonts w:eastAsia="Times New Roman"/>
                          </w:rPr>
                          <w:t>Price concessions webinar tonight</w:t>
                        </w:r>
                      </w:p>
                      <w:p w14:paraId="494F42C3" w14:textId="77777777" w:rsidR="009408A8" w:rsidRDefault="009408A8" w:rsidP="009408A8">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Community pharmacy contractors are reminded that PSNC will be hosting a webinar about price concessions </w:t>
                        </w:r>
                        <w:r>
                          <w:rPr>
                            <w:rStyle w:val="Strong"/>
                            <w:rFonts w:ascii="Tahoma" w:hAnsi="Tahoma" w:cs="Tahoma"/>
                            <w:color w:val="303030"/>
                            <w:sz w:val="21"/>
                            <w:szCs w:val="21"/>
                          </w:rPr>
                          <w:t>TONIGHT at 7.30pm</w:t>
                        </w:r>
                        <w:r>
                          <w:rPr>
                            <w:rFonts w:ascii="Tahoma" w:hAnsi="Tahoma" w:cs="Tahoma"/>
                            <w:color w:val="303030"/>
                            <w:sz w:val="21"/>
                            <w:szCs w:val="21"/>
                          </w:rPr>
                          <w:t>. During the webinar viewers will be guided through the price concession process and hear PSNC's current concerns with how the system is coping.</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Register for the webinar</w:t>
                          </w:r>
                        </w:hyperlink>
                        <w:r>
                          <w:rPr>
                            <w:rFonts w:ascii="Tahoma" w:hAnsi="Tahoma" w:cs="Tahoma"/>
                            <w:color w:val="303030"/>
                            <w:sz w:val="21"/>
                            <w:szCs w:val="21"/>
                          </w:rPr>
                          <w:t xml:space="preserve"> (you can register even after the event has started)</w:t>
                        </w:r>
                      </w:p>
                      <w:p w14:paraId="00C10557" w14:textId="77777777" w:rsidR="009408A8" w:rsidRDefault="009408A8" w:rsidP="009408A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2A8AE05">
                            <v:rect id="_x0000_i1035" style="width:468pt;height:1.5pt" o:hrstd="t" o:hr="t" fillcolor="#a0a0a0" stroked="f"/>
                          </w:pict>
                        </w:r>
                      </w:p>
                      <w:p w14:paraId="07F68D8F" w14:textId="77777777" w:rsidR="009408A8" w:rsidRDefault="009408A8" w:rsidP="009408A8">
                        <w:pPr>
                          <w:pStyle w:val="Heading3"/>
                          <w:spacing w:after="0"/>
                          <w:rPr>
                            <w:rFonts w:eastAsia="Times New Roman"/>
                          </w:rPr>
                        </w:pPr>
                        <w:r>
                          <w:rPr>
                            <w:rFonts w:eastAsia="Times New Roman"/>
                          </w:rPr>
                          <w:t>'Let's communicate cancer' training</w:t>
                        </w:r>
                      </w:p>
                      <w:p w14:paraId="18A16E36" w14:textId="77777777" w:rsidR="009408A8" w:rsidRDefault="009408A8" w:rsidP="009408A8">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Contractors are reminded that the British Oncology Pharmacy Association's (BOPA) 'Let's Communicate Cancer' training has now been added to the Health Education England e-learning for healthcare website. The course is aimed at all members of the pharmacy team and consists of four modules aimed at helping pharmacy team members to communicate better with their patients about cancer.</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Learn more about this training</w:t>
                          </w:r>
                        </w:hyperlink>
                      </w:p>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585"/>
                        </w:tblGrid>
                        <w:tr w:rsidR="009408A8" w14:paraId="1EF074BE" w14:textId="77777777">
                          <w:trPr>
                            <w:tblCellSpacing w:w="15" w:type="dxa"/>
                          </w:trPr>
                          <w:tc>
                            <w:tcPr>
                              <w:tcW w:w="0" w:type="auto"/>
                              <w:shd w:val="clear" w:color="auto" w:fill="4E3487"/>
                              <w:vAlign w:val="center"/>
                              <w:hideMark/>
                            </w:tcPr>
                            <w:p w14:paraId="040DC2A2" w14:textId="77777777" w:rsidR="009408A8" w:rsidRDefault="009408A8" w:rsidP="009408A8">
                              <w:pPr>
                                <w:pStyle w:val="Heading3"/>
                                <w:spacing w:after="0"/>
                                <w:rPr>
                                  <w:rFonts w:eastAsia="Times New Roman"/>
                                </w:rPr>
                              </w:pPr>
                              <w:r>
                                <w:rPr>
                                  <w:rFonts w:eastAsia="Times New Roman"/>
                                  <w:color w:val="FFFFFF"/>
                                </w:rPr>
                                <w:lastRenderedPageBreak/>
                                <w:t>Have you seen our latest FAQs?</w:t>
                              </w:r>
                            </w:p>
                          </w:tc>
                        </w:tr>
                      </w:tbl>
                      <w:p w14:paraId="09BB5B7B" w14:textId="77777777" w:rsidR="009408A8" w:rsidRDefault="009408A8" w:rsidP="009408A8">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PSNC's website has </w:t>
                        </w:r>
                        <w:proofErr w:type="gramStart"/>
                        <w:r>
                          <w:rPr>
                            <w:rFonts w:ascii="Tahoma" w:hAnsi="Tahoma" w:cs="Tahoma"/>
                            <w:color w:val="303030"/>
                            <w:sz w:val="21"/>
                            <w:szCs w:val="21"/>
                          </w:rPr>
                          <w:t>a large number of</w:t>
                        </w:r>
                        <w:proofErr w:type="gramEnd"/>
                        <w:r>
                          <w:rPr>
                            <w:rFonts w:ascii="Tahoma" w:hAnsi="Tahoma" w:cs="Tahoma"/>
                            <w:color w:val="303030"/>
                            <w:sz w:val="21"/>
                            <w:szCs w:val="21"/>
                          </w:rPr>
                          <w:t xml:space="preserve"> answers to queries posed by pharmacy contractors, their teams, and LPCs; these are updated on a regular basis. Recent additions on the </w:t>
                        </w:r>
                        <w:r>
                          <w:rPr>
                            <w:rStyle w:val="Strong"/>
                            <w:rFonts w:ascii="Tahoma" w:hAnsi="Tahoma" w:cs="Tahoma"/>
                            <w:color w:val="303030"/>
                            <w:sz w:val="21"/>
                            <w:szCs w:val="21"/>
                          </w:rPr>
                          <w:t>Flu vaccination service</w:t>
                        </w:r>
                        <w:r>
                          <w:rPr>
                            <w:rFonts w:ascii="Tahoma" w:hAnsi="Tahoma" w:cs="Tahoma"/>
                            <w:color w:val="303030"/>
                            <w:sz w:val="21"/>
                            <w:szCs w:val="21"/>
                          </w:rPr>
                          <w:t xml:space="preserve"> include:</w:t>
                        </w:r>
                      </w:p>
                      <w:p w14:paraId="3D8576BA" w14:textId="77777777" w:rsidR="009408A8" w:rsidRDefault="009408A8" w:rsidP="009408A8">
                        <w:pPr>
                          <w:pStyle w:val="NormalWeb"/>
                          <w:spacing w:before="0" w:beforeAutospacing="0" w:after="0" w:afterAutospacing="0" w:line="264" w:lineRule="auto"/>
                          <w:rPr>
                            <w:rStyle w:val="Strong"/>
                            <w:rFonts w:ascii="Tahoma" w:hAnsi="Tahoma" w:cs="Tahoma"/>
                            <w:color w:val="303030"/>
                            <w:sz w:val="21"/>
                            <w:szCs w:val="21"/>
                          </w:rPr>
                        </w:pPr>
                      </w:p>
                      <w:p w14:paraId="73B12D39" w14:textId="2D15EF2E" w:rsidR="009408A8" w:rsidRDefault="009408A8" w:rsidP="009408A8">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 xml:space="preserve">Q. Can I vaccinate a patient who is in the </w:t>
                        </w:r>
                        <w:proofErr w:type="gramStart"/>
                        <w:r>
                          <w:rPr>
                            <w:rStyle w:val="Strong"/>
                            <w:rFonts w:ascii="Tahoma" w:hAnsi="Tahoma" w:cs="Tahoma"/>
                            <w:color w:val="303030"/>
                            <w:sz w:val="21"/>
                            <w:szCs w:val="21"/>
                          </w:rPr>
                          <w:t>50-64 year old</w:t>
                        </w:r>
                        <w:proofErr w:type="gramEnd"/>
                        <w:r>
                          <w:rPr>
                            <w:rStyle w:val="Strong"/>
                            <w:rFonts w:ascii="Tahoma" w:hAnsi="Tahoma" w:cs="Tahoma"/>
                            <w:color w:val="303030"/>
                            <w:sz w:val="21"/>
                            <w:szCs w:val="21"/>
                          </w:rPr>
                          <w:t xml:space="preserve"> NOT in a clinical risk group cohort before 15th October 2022?</w:t>
                        </w:r>
                        <w:r>
                          <w:rPr>
                            <w:rFonts w:ascii="Tahoma" w:hAnsi="Tahoma" w:cs="Tahoma"/>
                            <w:color w:val="303030"/>
                            <w:sz w:val="21"/>
                            <w:szCs w:val="21"/>
                          </w:rPr>
                          <w:br/>
                          <w:t>No. This is outside the service specification, the patient group direction and the national protocol and therefore will not be remunerated.</w:t>
                        </w:r>
                      </w:p>
                      <w:p w14:paraId="62E3D8B9" w14:textId="77777777" w:rsidR="009408A8" w:rsidRDefault="009408A8" w:rsidP="009408A8">
                        <w:pPr>
                          <w:pStyle w:val="NormalWeb"/>
                          <w:spacing w:before="0" w:beforeAutospacing="0" w:after="0" w:afterAutospacing="0" w:line="264" w:lineRule="auto"/>
                          <w:rPr>
                            <w:rStyle w:val="Strong"/>
                            <w:rFonts w:ascii="Tahoma" w:hAnsi="Tahoma" w:cs="Tahoma"/>
                            <w:color w:val="303030"/>
                            <w:sz w:val="21"/>
                            <w:szCs w:val="21"/>
                          </w:rPr>
                        </w:pPr>
                      </w:p>
                      <w:p w14:paraId="6F20DA5A" w14:textId="44288E31" w:rsidR="009408A8" w:rsidRDefault="009408A8" w:rsidP="009408A8">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Q. Are pharmacy team members an eligible group for flu vaccination within the Advanced Service?</w:t>
                        </w:r>
                        <w:r>
                          <w:rPr>
                            <w:rFonts w:ascii="Tahoma" w:hAnsi="Tahoma" w:cs="Tahoma"/>
                            <w:color w:val="303030"/>
                            <w:sz w:val="21"/>
                            <w:szCs w:val="21"/>
                          </w:rPr>
                          <w:br/>
                          <w:t>No. Employers may wish to offer pharmacy staff flu vaccinations as part of their occupational health arrangements, but this cannot be undertaken as part of the Advanced Service. If a pharmacy team member is eligible for an NHS flu vaccination and falls into one of the eligible patient groups for the Advanced Service, they would be able to use the service at the pharmacy.</w:t>
                        </w:r>
                      </w:p>
                      <w:p w14:paraId="0322AFB7" w14:textId="77777777" w:rsidR="009408A8" w:rsidRDefault="009408A8" w:rsidP="009408A8">
                        <w:pPr>
                          <w:pStyle w:val="NormalWeb"/>
                          <w:spacing w:before="0" w:beforeAutospacing="0" w:after="0" w:afterAutospacing="0" w:line="264" w:lineRule="auto"/>
                          <w:rPr>
                            <w:rStyle w:val="Strong"/>
                            <w:rFonts w:ascii="Tahoma" w:hAnsi="Tahoma" w:cs="Tahoma"/>
                            <w:color w:val="303030"/>
                            <w:sz w:val="21"/>
                            <w:szCs w:val="21"/>
                          </w:rPr>
                        </w:pPr>
                      </w:p>
                      <w:p w14:paraId="5A65B3D7" w14:textId="59FE12C3" w:rsidR="009408A8" w:rsidRDefault="009408A8" w:rsidP="009408A8">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Q. At what stage of pregnancy should pregnant women be offered the flu vaccine?</w:t>
                        </w:r>
                        <w:r>
                          <w:rPr>
                            <w:rFonts w:ascii="Tahoma" w:hAnsi="Tahoma" w:cs="Tahoma"/>
                            <w:color w:val="303030"/>
                            <w:sz w:val="21"/>
                            <w:szCs w:val="21"/>
                          </w:rPr>
                          <w:br/>
                          <w:t>All pregnant women should be offered an inactivated influenza vaccine whilst pregnant, regardless of their stage of pregnancy. Studies have demonstrated that pregnant women can safely receive influenza vaccine during pregnancy and that infants also receive some protection from maternal antibodies because of their mother having the vaccination whilst pregnant.</w:t>
                        </w:r>
                      </w:p>
                      <w:p w14:paraId="0F5D17BA" w14:textId="77777777" w:rsidR="009408A8" w:rsidRDefault="009408A8" w:rsidP="009408A8">
                        <w:pPr>
                          <w:pStyle w:val="NormalWeb"/>
                          <w:spacing w:before="0" w:beforeAutospacing="0" w:after="0" w:afterAutospacing="0" w:line="264" w:lineRule="auto"/>
                          <w:rPr>
                            <w:rFonts w:ascii="Tahoma" w:hAnsi="Tahoma" w:cs="Tahoma"/>
                            <w:color w:val="303030"/>
                            <w:sz w:val="21"/>
                            <w:szCs w:val="21"/>
                          </w:rPr>
                        </w:pPr>
                      </w:p>
                      <w:p w14:paraId="0AB136C5" w14:textId="64BBB008" w:rsidR="009408A8" w:rsidRDefault="009408A8" w:rsidP="009408A8">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Further information can be found in PSNC's </w:t>
                        </w:r>
                        <w:hyperlink r:id="rId11" w:tgtFrame="_blank" w:history="1">
                          <w:r>
                            <w:rPr>
                              <w:rStyle w:val="Hyperlink"/>
                              <w:rFonts w:ascii="Tahoma" w:hAnsi="Tahoma" w:cs="Tahoma"/>
                              <w:b/>
                              <w:bCs/>
                              <w:color w:val="4E3487"/>
                              <w:sz w:val="21"/>
                              <w:szCs w:val="21"/>
                            </w:rPr>
                            <w:t>Flu Vaccination Service hub</w:t>
                          </w:r>
                        </w:hyperlink>
                        <w:r>
                          <w:rPr>
                            <w:rFonts w:ascii="Tahoma" w:hAnsi="Tahoma" w:cs="Tahoma"/>
                            <w:color w:val="303030"/>
                            <w:sz w:val="21"/>
                            <w:szCs w:val="21"/>
                          </w:rPr>
                          <w:t>.</w:t>
                        </w:r>
                      </w:p>
                    </w:tc>
                    <w:tc>
                      <w:tcPr>
                        <w:tcW w:w="150" w:type="dxa"/>
                        <w:vAlign w:val="center"/>
                        <w:hideMark/>
                      </w:tcPr>
                      <w:p w14:paraId="4B8EDA1D" w14:textId="77777777" w:rsidR="009408A8" w:rsidRDefault="009408A8" w:rsidP="009408A8">
                        <w:pPr>
                          <w:spacing w:line="264" w:lineRule="auto"/>
                          <w:rPr>
                            <w:rFonts w:ascii="Tahoma" w:hAnsi="Tahoma" w:cs="Tahoma"/>
                            <w:color w:val="303030"/>
                            <w:sz w:val="21"/>
                            <w:szCs w:val="21"/>
                          </w:rPr>
                        </w:pPr>
                      </w:p>
                    </w:tc>
                  </w:tr>
                  <w:tr w:rsidR="009408A8" w14:paraId="4362B539" w14:textId="77777777">
                    <w:trPr>
                      <w:trHeight w:val="150"/>
                      <w:tblCellSpacing w:w="15" w:type="dxa"/>
                      <w:jc w:val="center"/>
                    </w:trPr>
                    <w:tc>
                      <w:tcPr>
                        <w:tcW w:w="150" w:type="dxa"/>
                        <w:vAlign w:val="center"/>
                        <w:hideMark/>
                      </w:tcPr>
                      <w:p w14:paraId="6F3A7906" w14:textId="77777777" w:rsidR="009408A8" w:rsidRDefault="009408A8" w:rsidP="009408A8">
                        <w:pPr>
                          <w:spacing w:line="264" w:lineRule="auto"/>
                          <w:rPr>
                            <w:rFonts w:ascii="Times New Roman" w:eastAsia="Times New Roman" w:hAnsi="Times New Roman" w:cs="Times New Roman"/>
                            <w:sz w:val="20"/>
                            <w:szCs w:val="20"/>
                          </w:rPr>
                        </w:pPr>
                      </w:p>
                    </w:tc>
                    <w:tc>
                      <w:tcPr>
                        <w:tcW w:w="8700" w:type="dxa"/>
                        <w:vAlign w:val="center"/>
                        <w:hideMark/>
                      </w:tcPr>
                      <w:p w14:paraId="3141DF21" w14:textId="77777777" w:rsidR="009408A8" w:rsidRDefault="009408A8" w:rsidP="009408A8">
                        <w:pPr>
                          <w:spacing w:line="264" w:lineRule="auto"/>
                          <w:rPr>
                            <w:rFonts w:ascii="Times New Roman" w:eastAsia="Times New Roman" w:hAnsi="Times New Roman" w:cs="Times New Roman"/>
                            <w:sz w:val="20"/>
                            <w:szCs w:val="20"/>
                          </w:rPr>
                        </w:pPr>
                      </w:p>
                    </w:tc>
                    <w:tc>
                      <w:tcPr>
                        <w:tcW w:w="150" w:type="dxa"/>
                        <w:vAlign w:val="center"/>
                        <w:hideMark/>
                      </w:tcPr>
                      <w:p w14:paraId="4719C9E2" w14:textId="77777777" w:rsidR="009408A8" w:rsidRDefault="009408A8" w:rsidP="009408A8">
                        <w:pPr>
                          <w:spacing w:line="264" w:lineRule="auto"/>
                          <w:rPr>
                            <w:rFonts w:ascii="Times New Roman" w:eastAsia="Times New Roman" w:hAnsi="Times New Roman" w:cs="Times New Roman"/>
                            <w:sz w:val="20"/>
                            <w:szCs w:val="20"/>
                          </w:rPr>
                        </w:pPr>
                      </w:p>
                    </w:tc>
                  </w:tr>
                </w:tbl>
                <w:p w14:paraId="3CCF288B" w14:textId="77777777" w:rsidR="009408A8" w:rsidRDefault="009408A8" w:rsidP="009408A8">
                  <w:pPr>
                    <w:spacing w:line="264" w:lineRule="auto"/>
                    <w:rPr>
                      <w:rFonts w:ascii="Times New Roman" w:eastAsia="Times New Roman" w:hAnsi="Times New Roman" w:cs="Times New Roman"/>
                      <w:sz w:val="20"/>
                      <w:szCs w:val="20"/>
                    </w:rPr>
                  </w:pPr>
                </w:p>
              </w:tc>
            </w:tr>
          </w:tbl>
          <w:p w14:paraId="7DA5EF6B" w14:textId="77777777" w:rsidR="009408A8" w:rsidRDefault="009408A8">
            <w:pPr>
              <w:jc w:val="center"/>
              <w:rPr>
                <w:rFonts w:ascii="Times New Roman" w:eastAsia="Times New Roman" w:hAnsi="Times New Roman" w:cs="Times New Roman"/>
                <w:sz w:val="20"/>
                <w:szCs w:val="20"/>
              </w:rPr>
            </w:pPr>
          </w:p>
        </w:tc>
      </w:tr>
      <w:tr w:rsidR="009408A8" w14:paraId="7B4F6263" w14:textId="77777777" w:rsidTr="009408A8">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9408A8" w14:paraId="003F2C00"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9408A8" w14:paraId="39E4A263" w14:textId="77777777">
                    <w:trPr>
                      <w:tblCellSpacing w:w="0" w:type="dxa"/>
                      <w:jc w:val="center"/>
                    </w:trPr>
                    <w:tc>
                      <w:tcPr>
                        <w:tcW w:w="3000" w:type="dxa"/>
                        <w:tcMar>
                          <w:top w:w="30" w:type="dxa"/>
                          <w:left w:w="75" w:type="dxa"/>
                          <w:bottom w:w="30" w:type="dxa"/>
                          <w:right w:w="75" w:type="dxa"/>
                        </w:tcMar>
                        <w:hideMark/>
                      </w:tcPr>
                      <w:p w14:paraId="3E31D0B3" w14:textId="77777777" w:rsidR="009408A8" w:rsidRDefault="009408A8">
                        <w:pPr>
                          <w:pStyle w:val="Heading4"/>
                          <w:jc w:val="center"/>
                          <w:rPr>
                            <w:rFonts w:eastAsia="Times New Roman"/>
                          </w:rPr>
                        </w:pPr>
                        <w:r>
                          <w:rPr>
                            <w:rFonts w:eastAsia="Times New Roman"/>
                          </w:rPr>
                          <w:lastRenderedPageBreak/>
                          <w:t>Pharmaceutical Services Negotiating Committee</w:t>
                        </w:r>
                      </w:p>
                      <w:p w14:paraId="182045A3" w14:textId="6F02E485" w:rsidR="009408A8" w:rsidRDefault="009408A8">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1C28A759" wp14:editId="2E5787D6">
                              <wp:extent cx="609600" cy="304800"/>
                              <wp:effectExtent l="0" t="0" r="0" b="0"/>
                              <wp:docPr id="5" name="Picture 5">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EA8B748" wp14:editId="4C7538CA">
                              <wp:extent cx="609600" cy="304800"/>
                              <wp:effectExtent l="0" t="0" r="0" b="0"/>
                              <wp:docPr id="4" name="Picture 4">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98C2D9C" wp14:editId="465E6623">
                              <wp:extent cx="609600" cy="304800"/>
                              <wp:effectExtent l="0" t="0" r="0" b="0"/>
                              <wp:docPr id="3" name="Picture 3">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1BE7517" wp14:editId="63EBCB9B">
                              <wp:extent cx="609600" cy="304800"/>
                              <wp:effectExtent l="0" t="0" r="0" b="0"/>
                              <wp:docPr id="2" name="Picture 2">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291C3331" w14:textId="77777777" w:rsidR="009408A8" w:rsidRDefault="009408A8">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9408A8" w14:paraId="2D65C01D" w14:textId="77777777" w:rsidTr="009408A8">
                    <w:trPr>
                      <w:trHeight w:val="67"/>
                      <w:tblCellSpacing w:w="0" w:type="dxa"/>
                      <w:jc w:val="center"/>
                    </w:trPr>
                    <w:tc>
                      <w:tcPr>
                        <w:tcW w:w="9000" w:type="dxa"/>
                        <w:tcMar>
                          <w:top w:w="150" w:type="dxa"/>
                          <w:left w:w="0" w:type="dxa"/>
                          <w:bottom w:w="0" w:type="dxa"/>
                          <w:right w:w="0" w:type="dxa"/>
                        </w:tcMar>
                        <w:vAlign w:val="center"/>
                        <w:hideMark/>
                      </w:tcPr>
                      <w:p w14:paraId="133683AA" w14:textId="53DB2582" w:rsidR="009408A8" w:rsidRDefault="009408A8" w:rsidP="009408A8">
                        <w:pPr>
                          <w:rPr>
                            <w:rFonts w:ascii="Arial" w:eastAsia="Times New Roman" w:hAnsi="Arial" w:cs="Arial"/>
                            <w:color w:val="FFFFFF"/>
                            <w:sz w:val="17"/>
                            <w:szCs w:val="17"/>
                          </w:rPr>
                        </w:pPr>
                      </w:p>
                    </w:tc>
                  </w:tr>
                </w:tbl>
                <w:p w14:paraId="3387EA95" w14:textId="77777777" w:rsidR="009408A8" w:rsidRDefault="009408A8">
                  <w:pPr>
                    <w:jc w:val="center"/>
                    <w:rPr>
                      <w:rFonts w:ascii="Times New Roman" w:eastAsia="Times New Roman" w:hAnsi="Times New Roman" w:cs="Times New Roman"/>
                      <w:sz w:val="20"/>
                      <w:szCs w:val="20"/>
                    </w:rPr>
                  </w:pPr>
                </w:p>
              </w:tc>
            </w:tr>
          </w:tbl>
          <w:p w14:paraId="1287B59F" w14:textId="77777777" w:rsidR="009408A8" w:rsidRDefault="009408A8">
            <w:pPr>
              <w:jc w:val="center"/>
              <w:rPr>
                <w:rFonts w:ascii="Times New Roman" w:eastAsia="Times New Roman" w:hAnsi="Times New Roman" w:cs="Times New Roman"/>
                <w:sz w:val="20"/>
                <w:szCs w:val="20"/>
              </w:rPr>
            </w:pPr>
          </w:p>
        </w:tc>
      </w:tr>
    </w:tbl>
    <w:p w14:paraId="2F7E5F11" w14:textId="4C7E6F43" w:rsidR="009408A8" w:rsidRDefault="009408A8" w:rsidP="009408A8">
      <w:pPr>
        <w:rPr>
          <w:rFonts w:eastAsia="Times New Roman"/>
        </w:rPr>
      </w:pPr>
      <w:r>
        <w:rPr>
          <w:rFonts w:eastAsia="Times New Roman"/>
          <w:noProof/>
        </w:rPr>
        <w:drawing>
          <wp:inline distT="0" distB="0" distL="0" distR="0" wp14:anchorId="629ECEC4" wp14:editId="607A3CE1">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48C8ACA"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A8"/>
    <w:rsid w:val="009408A8"/>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EE7AE"/>
  <w15:chartTrackingRefBased/>
  <w15:docId w15:val="{229DDC88-0C52-44FA-BBD8-6E33D3D3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8A8"/>
    <w:rPr>
      <w:rFonts w:ascii="Calibri" w:hAnsi="Calibri" w:cs="Calibri"/>
      <w:lang w:eastAsia="en-GB"/>
    </w:rPr>
  </w:style>
  <w:style w:type="paragraph" w:styleId="Heading1">
    <w:name w:val="heading 1"/>
    <w:basedOn w:val="Normal"/>
    <w:link w:val="Heading1Char"/>
    <w:uiPriority w:val="9"/>
    <w:qFormat/>
    <w:rsid w:val="009408A8"/>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9408A8"/>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9408A8"/>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9408A8"/>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8A8"/>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9408A8"/>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9408A8"/>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9408A8"/>
    <w:rPr>
      <w:rFonts w:ascii="Tahoma" w:hAnsi="Tahoma" w:cs="Tahoma"/>
      <w:b/>
      <w:bCs/>
      <w:color w:val="FFFFFF"/>
      <w:sz w:val="18"/>
      <w:szCs w:val="18"/>
      <w:lang w:eastAsia="en-GB"/>
    </w:rPr>
  </w:style>
  <w:style w:type="paragraph" w:styleId="NormalWeb">
    <w:name w:val="Normal (Web)"/>
    <w:basedOn w:val="Normal"/>
    <w:uiPriority w:val="99"/>
    <w:semiHidden/>
    <w:unhideWhenUsed/>
    <w:rsid w:val="009408A8"/>
    <w:pPr>
      <w:spacing w:before="100" w:beforeAutospacing="1" w:after="100" w:afterAutospacing="1"/>
    </w:pPr>
  </w:style>
  <w:style w:type="character" w:styleId="Strong">
    <w:name w:val="Strong"/>
    <w:basedOn w:val="DefaultParagraphFont"/>
    <w:uiPriority w:val="22"/>
    <w:qFormat/>
    <w:rsid w:val="009408A8"/>
    <w:rPr>
      <w:b/>
      <w:bCs/>
    </w:rPr>
  </w:style>
  <w:style w:type="character" w:styleId="Hyperlink">
    <w:name w:val="Hyperlink"/>
    <w:basedOn w:val="DefaultParagraphFont"/>
    <w:uiPriority w:val="99"/>
    <w:semiHidden/>
    <w:unhideWhenUsed/>
    <w:rsid w:val="009408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2e3bd09ebe&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92c5c808ee&amp;e=d19e9fd41c" TargetMode="External"/><Relationship Id="rId26" Type="http://schemas.openxmlformats.org/officeDocument/2006/relationships/image" Target="https://psnc.us7.list-manage.com/track/open.php?u=86d41ab7fa4c7c2c5d7210782&amp;id=2d84cff657&amp;e=d19e9fd41c"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daf3237aa6&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288b58b129&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16be12e121&amp;e=d19e9fd41c"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76818fe5a7&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theme" Target="theme/theme1.xml"/><Relationship Id="rId10" Type="http://schemas.openxmlformats.org/officeDocument/2006/relationships/hyperlink" Target="https://psnc.us7.list-manage.com/track/click?u=86d41ab7fa4c7c2c5d7210782&amp;id=4c0199fe3b&amp;e=d19e9fd41c"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psnc.us7.list-manage.com/track/click?u=86d41ab7fa4c7c2c5d7210782&amp;id=b63202d228&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2022-09-08T07:37:00Z</dcterms:created>
  <dcterms:modified xsi:type="dcterms:W3CDTF">2022-09-08T07:39:00Z</dcterms:modified>
</cp:coreProperties>
</file>