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82483" w14:paraId="62DBAD2B" w14:textId="77777777" w:rsidTr="0058248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82483" w14:paraId="33F671B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82483" w14:paraId="780EBDBB" w14:textId="77777777">
                    <w:trPr>
                      <w:tblCellSpacing w:w="0" w:type="dxa"/>
                      <w:jc w:val="center"/>
                    </w:trPr>
                    <w:tc>
                      <w:tcPr>
                        <w:tcW w:w="3000" w:type="dxa"/>
                        <w:hideMark/>
                      </w:tcPr>
                      <w:p w14:paraId="1F2F63A7" w14:textId="2BB50C48" w:rsidR="00582483" w:rsidRDefault="00C00A7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8919462" w14:textId="77777777" w:rsidR="00582483" w:rsidRDefault="00582483">
                  <w:pPr>
                    <w:jc w:val="center"/>
                    <w:rPr>
                      <w:rFonts w:ascii="Times New Roman" w:eastAsia="Times New Roman" w:hAnsi="Times New Roman" w:cs="Times New Roman"/>
                      <w:sz w:val="20"/>
                      <w:szCs w:val="20"/>
                    </w:rPr>
                  </w:pPr>
                </w:p>
              </w:tc>
            </w:tr>
            <w:tr w:rsidR="00582483" w14:paraId="5675153D"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82483" w14:paraId="22E7A8F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2D2FAAD" w14:textId="1BC6F5D9" w:rsidR="00582483" w:rsidRDefault="00582483">
                        <w:pPr>
                          <w:jc w:val="center"/>
                          <w:rPr>
                            <w:rFonts w:eastAsia="Times New Roman"/>
                          </w:rPr>
                        </w:pPr>
                        <w:r>
                          <w:rPr>
                            <w:rFonts w:eastAsia="Times New Roman"/>
                            <w:noProof/>
                          </w:rPr>
                          <w:drawing>
                            <wp:inline distT="0" distB="0" distL="0" distR="0" wp14:anchorId="6D15A4D1" wp14:editId="7D575E3B">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82483" w14:paraId="58BCB309" w14:textId="77777777">
                    <w:trPr>
                      <w:tblCellSpacing w:w="0" w:type="dxa"/>
                    </w:trPr>
                    <w:tc>
                      <w:tcPr>
                        <w:tcW w:w="0" w:type="auto"/>
                        <w:vMerge/>
                        <w:tcBorders>
                          <w:top w:val="nil"/>
                          <w:left w:val="nil"/>
                          <w:bottom w:val="single" w:sz="2" w:space="0" w:color="FFFFFF"/>
                          <w:right w:val="nil"/>
                        </w:tcBorders>
                        <w:vAlign w:val="center"/>
                        <w:hideMark/>
                      </w:tcPr>
                      <w:p w14:paraId="2C492D8C" w14:textId="77777777" w:rsidR="00582483" w:rsidRDefault="00582483">
                        <w:pPr>
                          <w:rPr>
                            <w:rFonts w:eastAsia="Times New Roman"/>
                          </w:rPr>
                        </w:pPr>
                      </w:p>
                    </w:tc>
                    <w:tc>
                      <w:tcPr>
                        <w:tcW w:w="3450" w:type="dxa"/>
                        <w:tcBorders>
                          <w:top w:val="nil"/>
                          <w:left w:val="nil"/>
                          <w:bottom w:val="nil"/>
                          <w:right w:val="nil"/>
                        </w:tcBorders>
                        <w:vAlign w:val="center"/>
                        <w:hideMark/>
                      </w:tcPr>
                      <w:p w14:paraId="0E652157" w14:textId="77777777" w:rsidR="00582483" w:rsidRDefault="00582483">
                        <w:pPr>
                          <w:pStyle w:val="Heading1"/>
                          <w:rPr>
                            <w:rFonts w:eastAsia="Times New Roman"/>
                          </w:rPr>
                        </w:pPr>
                        <w:r>
                          <w:rPr>
                            <w:rFonts w:eastAsia="Times New Roman"/>
                          </w:rPr>
                          <w:t>PSNC Newsletter</w:t>
                        </w:r>
                      </w:p>
                    </w:tc>
                  </w:tr>
                  <w:tr w:rsidR="00582483" w14:paraId="2886D2F4" w14:textId="77777777">
                    <w:trPr>
                      <w:tblCellSpacing w:w="0" w:type="dxa"/>
                    </w:trPr>
                    <w:tc>
                      <w:tcPr>
                        <w:tcW w:w="0" w:type="auto"/>
                        <w:vMerge/>
                        <w:tcBorders>
                          <w:top w:val="nil"/>
                          <w:left w:val="nil"/>
                          <w:bottom w:val="single" w:sz="2" w:space="0" w:color="FFFFFF"/>
                          <w:right w:val="nil"/>
                        </w:tcBorders>
                        <w:vAlign w:val="center"/>
                        <w:hideMark/>
                      </w:tcPr>
                      <w:p w14:paraId="5A2D5575" w14:textId="77777777" w:rsidR="00582483" w:rsidRDefault="0058248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83446A4" w14:textId="77777777" w:rsidR="00582483" w:rsidRDefault="00582483">
                        <w:pPr>
                          <w:pStyle w:val="Heading2"/>
                          <w:rPr>
                            <w:rFonts w:eastAsia="Times New Roman"/>
                            <w:color w:val="93378A"/>
                          </w:rPr>
                        </w:pPr>
                        <w:r>
                          <w:rPr>
                            <w:rFonts w:eastAsia="Times New Roman"/>
                            <w:color w:val="93378A"/>
                          </w:rPr>
                          <w:t>Wednesday 5th October 2022</w:t>
                        </w:r>
                      </w:p>
                    </w:tc>
                  </w:tr>
                </w:tbl>
                <w:p w14:paraId="57579828" w14:textId="77777777" w:rsidR="00582483" w:rsidRDefault="00582483">
                  <w:pPr>
                    <w:rPr>
                      <w:rFonts w:ascii="Times New Roman" w:eastAsia="Times New Roman" w:hAnsi="Times New Roman" w:cs="Times New Roman"/>
                      <w:sz w:val="20"/>
                      <w:szCs w:val="20"/>
                    </w:rPr>
                  </w:pPr>
                </w:p>
              </w:tc>
            </w:tr>
            <w:tr w:rsidR="00582483" w14:paraId="36966D5C" w14:textId="77777777">
              <w:tblPrEx>
                <w:shd w:val="clear" w:color="auto" w:fill="auto"/>
              </w:tblPrEx>
              <w:trPr>
                <w:tblCellSpacing w:w="0" w:type="dxa"/>
                <w:jc w:val="center"/>
              </w:trPr>
              <w:tc>
                <w:tcPr>
                  <w:tcW w:w="9000" w:type="dxa"/>
                  <w:hideMark/>
                </w:tcPr>
                <w:p w14:paraId="64BCB5C7" w14:textId="0B9F6FB0" w:rsidR="00582483" w:rsidRDefault="00582483">
                  <w:pPr>
                    <w:rPr>
                      <w:rFonts w:eastAsia="Times New Roman"/>
                    </w:rPr>
                  </w:pPr>
                  <w:r>
                    <w:rPr>
                      <w:rFonts w:eastAsia="Times New Roman"/>
                      <w:noProof/>
                    </w:rPr>
                    <w:drawing>
                      <wp:inline distT="0" distB="0" distL="0" distR="0" wp14:anchorId="7260E91F" wp14:editId="02943AC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82483" w14:paraId="51C0480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582483" w14:paraId="302E9B90" w14:textId="77777777">
                    <w:trPr>
                      <w:trHeight w:val="150"/>
                      <w:tblCellSpacing w:w="15" w:type="dxa"/>
                      <w:jc w:val="center"/>
                    </w:trPr>
                    <w:tc>
                      <w:tcPr>
                        <w:tcW w:w="150" w:type="dxa"/>
                        <w:vAlign w:val="center"/>
                        <w:hideMark/>
                      </w:tcPr>
                      <w:p w14:paraId="43EE22A3" w14:textId="77777777" w:rsidR="00582483" w:rsidRDefault="00582483" w:rsidP="00C00A75">
                        <w:pPr>
                          <w:spacing w:line="264" w:lineRule="auto"/>
                          <w:rPr>
                            <w:rFonts w:eastAsia="Times New Roman"/>
                          </w:rPr>
                        </w:pPr>
                      </w:p>
                    </w:tc>
                    <w:tc>
                      <w:tcPr>
                        <w:tcW w:w="8700" w:type="dxa"/>
                        <w:vAlign w:val="center"/>
                        <w:hideMark/>
                      </w:tcPr>
                      <w:p w14:paraId="21B3943E" w14:textId="77777777" w:rsidR="00582483" w:rsidRDefault="00582483" w:rsidP="00C00A75">
                        <w:pPr>
                          <w:spacing w:line="264" w:lineRule="auto"/>
                          <w:rPr>
                            <w:rFonts w:ascii="Times New Roman" w:eastAsia="Times New Roman" w:hAnsi="Times New Roman" w:cs="Times New Roman"/>
                            <w:sz w:val="20"/>
                            <w:szCs w:val="20"/>
                          </w:rPr>
                        </w:pPr>
                      </w:p>
                    </w:tc>
                    <w:tc>
                      <w:tcPr>
                        <w:tcW w:w="150" w:type="dxa"/>
                        <w:vAlign w:val="center"/>
                        <w:hideMark/>
                      </w:tcPr>
                      <w:p w14:paraId="014ADDE0" w14:textId="77777777" w:rsidR="00582483" w:rsidRDefault="00582483" w:rsidP="00C00A75">
                        <w:pPr>
                          <w:spacing w:line="264" w:lineRule="auto"/>
                          <w:rPr>
                            <w:rFonts w:ascii="Times New Roman" w:eastAsia="Times New Roman" w:hAnsi="Times New Roman" w:cs="Times New Roman"/>
                            <w:sz w:val="20"/>
                            <w:szCs w:val="20"/>
                          </w:rPr>
                        </w:pPr>
                      </w:p>
                    </w:tc>
                  </w:tr>
                  <w:tr w:rsidR="00582483" w14:paraId="6FD31E64" w14:textId="77777777">
                    <w:trPr>
                      <w:tblCellSpacing w:w="15" w:type="dxa"/>
                      <w:jc w:val="center"/>
                    </w:trPr>
                    <w:tc>
                      <w:tcPr>
                        <w:tcW w:w="150" w:type="dxa"/>
                        <w:vAlign w:val="center"/>
                        <w:hideMark/>
                      </w:tcPr>
                      <w:p w14:paraId="0712BE35" w14:textId="77777777" w:rsidR="00582483" w:rsidRDefault="00582483" w:rsidP="00C00A75">
                        <w:pPr>
                          <w:spacing w:line="264" w:lineRule="auto"/>
                          <w:rPr>
                            <w:rFonts w:ascii="Times New Roman" w:eastAsia="Times New Roman" w:hAnsi="Times New Roman" w:cs="Times New Roman"/>
                            <w:sz w:val="20"/>
                            <w:szCs w:val="20"/>
                          </w:rPr>
                        </w:pPr>
                      </w:p>
                    </w:tc>
                    <w:tc>
                      <w:tcPr>
                        <w:tcW w:w="8700" w:type="dxa"/>
                        <w:vAlign w:val="center"/>
                        <w:hideMark/>
                      </w:tcPr>
                      <w:p w14:paraId="75179C87"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5DCE21D"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ADC4C91">
                            <v:rect id="_x0000_i1032" style="width:468pt;height:1.5pt" o:hrstd="t" o:hr="t" fillcolor="#a0a0a0" stroked="f"/>
                          </w:pict>
                        </w:r>
                      </w:p>
                      <w:p w14:paraId="25DB4688" w14:textId="77777777" w:rsidR="00582483" w:rsidRDefault="00582483" w:rsidP="00C00A75">
                        <w:pPr>
                          <w:pStyle w:val="Heading2"/>
                          <w:spacing w:after="0"/>
                          <w:rPr>
                            <w:rFonts w:eastAsia="Times New Roman"/>
                          </w:rPr>
                        </w:pPr>
                        <w:r>
                          <w:rPr>
                            <w:rFonts w:eastAsia="Times New Roman"/>
                          </w:rPr>
                          <w:t>In this update: PQS 2022/23 details released; TAPR update; MYS change for flu vaccine submissions; MHRA Drug Safety Update.</w:t>
                        </w:r>
                      </w:p>
                      <w:p w14:paraId="682D9AA2"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072055B">
                            <v:rect id="_x0000_i1033" style="width:468pt;height:1.5pt" o:hrstd="t" o:hr="t" fillcolor="#a0a0a0" stroked="f"/>
                          </w:pict>
                        </w:r>
                      </w:p>
                      <w:p w14:paraId="389220C7" w14:textId="77777777" w:rsidR="00582483" w:rsidRDefault="00582483" w:rsidP="00C00A75">
                        <w:pPr>
                          <w:pStyle w:val="Heading2"/>
                          <w:spacing w:after="0"/>
                          <w:rPr>
                            <w:rFonts w:eastAsia="Times New Roman"/>
                          </w:rPr>
                        </w:pPr>
                        <w:r>
                          <w:rPr>
                            <w:rFonts w:eastAsia="Times New Roman"/>
                          </w:rPr>
                          <w:t>PQS: publication of further details on the 2022/23 scheme</w:t>
                        </w:r>
                      </w:p>
                      <w:p w14:paraId="590049A8"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Further details on the Pharmacy Quality Scheme (PQS) 2022/23 have been published today on the NHS Business Services Authority (NHSBSA) website. The details have been published as a separate Determination; they will be included in the Drug Tariff from November 2022.</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Priority points to note include details of the aspiration payment window and the Respiratory Domain criteria, both of which begin on Monday 10th October. </w:t>
                        </w:r>
                      </w:p>
                      <w:p w14:paraId="7B16AA4A" w14:textId="77777777" w:rsidR="00582483" w:rsidRDefault="00582483" w:rsidP="00C00A7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PSNC's </w:t>
                        </w:r>
                        <w:hyperlink r:id="rId8" w:tgtFrame="_blank" w:history="1">
                          <w:r>
                            <w:rPr>
                              <w:rStyle w:val="Strong"/>
                              <w:rFonts w:ascii="Tahoma" w:hAnsi="Tahoma" w:cs="Tahoma"/>
                              <w:color w:val="4E3487"/>
                              <w:sz w:val="21"/>
                              <w:szCs w:val="21"/>
                            </w:rPr>
                            <w:t>PQS hub page</w:t>
                          </w:r>
                        </w:hyperlink>
                        <w:r>
                          <w:rPr>
                            <w:rFonts w:ascii="Tahoma" w:hAnsi="Tahoma" w:cs="Tahoma"/>
                            <w:color w:val="303030"/>
                            <w:sz w:val="21"/>
                            <w:szCs w:val="21"/>
                          </w:rPr>
                          <w:t> has been updated to reflect the additional information that has now been published on the Scheme, and additional resources and FAQs to support contractors will continue to be added to this page.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2022/23 PQS</w:t>
                          </w:r>
                        </w:hyperlink>
                      </w:p>
                      <w:p w14:paraId="2F8FC72E"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144541D">
                            <v:rect id="_x0000_i1034" style="width:468pt;height:1.5pt" o:hrstd="t" o:hr="t" fillcolor="#a0a0a0" stroked="f"/>
                          </w:pict>
                        </w:r>
                      </w:p>
                      <w:p w14:paraId="39D8F193" w14:textId="77777777" w:rsidR="00582483" w:rsidRDefault="00582483" w:rsidP="00C00A75">
                        <w:pPr>
                          <w:pStyle w:val="Heading2"/>
                          <w:spacing w:after="0"/>
                          <w:rPr>
                            <w:rFonts w:eastAsia="Times New Roman"/>
                          </w:rPr>
                        </w:pPr>
                        <w:r>
                          <w:rPr>
                            <w:rFonts w:eastAsia="Times New Roman"/>
                          </w:rPr>
                          <w:t>TAPR Update: PSNC takes initial governance, levy and influencing decisions</w:t>
                        </w:r>
                      </w:p>
                      <w:p w14:paraId="52B86147"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progressing work to enhance its negotiating capacity, strengthen its governance, develop a new vision and strategy for the sector, and more, in line with the Transforming Pharmacy Representation (TAPR) programme. </w:t>
                        </w:r>
                        <w:r>
                          <w:rPr>
                            <w:rFonts w:ascii="Tahoma" w:eastAsia="Times New Roman" w:hAnsi="Tahoma" w:cs="Tahoma"/>
                            <w:color w:val="303030"/>
                            <w:sz w:val="21"/>
                            <w:szCs w:val="21"/>
                          </w:rPr>
                          <w:br/>
                        </w:r>
                        <w:r>
                          <w:rPr>
                            <w:rFonts w:ascii="Tahoma" w:eastAsia="Times New Roman" w:hAnsi="Tahoma" w:cs="Tahoma"/>
                            <w:color w:val="303030"/>
                            <w:sz w:val="21"/>
                            <w:szCs w:val="21"/>
                          </w:rPr>
                          <w:br/>
                          <w:t>At its meeting in September, PSNC Members considered and voted on changes to the PSNC Constitution and to reduce the Committee size, as well as discussing the principles for collecting levies. Steps have also been taken to increase PSNC’s influencing capacity, with the appointment of a political campaigning agency following a tender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the TAPR update</w:t>
                          </w:r>
                        </w:hyperlink>
                        <w:r>
                          <w:rPr>
                            <w:rFonts w:ascii="Tahoma" w:eastAsia="Times New Roman" w:hAnsi="Tahoma" w:cs="Tahoma"/>
                            <w:color w:val="303030"/>
                            <w:sz w:val="21"/>
                            <w:szCs w:val="21"/>
                          </w:rPr>
                          <w:t xml:space="preserve"> </w:t>
                        </w:r>
                      </w:p>
                      <w:p w14:paraId="0678C893"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55BD77E">
                            <v:rect id="_x0000_i1035" style="width:468pt;height:1.5pt" o:hrstd="t" o:hr="t" fillcolor="#a0a0a0" stroked="f"/>
                          </w:pict>
                        </w:r>
                      </w:p>
                      <w:p w14:paraId="62B35278" w14:textId="77777777" w:rsidR="00582483" w:rsidRDefault="00582483" w:rsidP="00C00A75">
                        <w:pPr>
                          <w:pStyle w:val="Heading2"/>
                          <w:spacing w:after="0"/>
                          <w:rPr>
                            <w:rFonts w:eastAsia="Times New Roman"/>
                          </w:rPr>
                        </w:pPr>
                        <w:r>
                          <w:rPr>
                            <w:rFonts w:eastAsia="Times New Roman"/>
                          </w:rPr>
                          <w:t>Change to a flu vaccine description on MYS</w:t>
                        </w:r>
                      </w:p>
                      <w:p w14:paraId="146F9FBC"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change has been made on Manage Your Service (MYS) for flu vaccine submissions. The description for the quadrivalent vaccine by Seqirus has been replaced with 'Cell-based </w:t>
                        </w:r>
                        <w:r>
                          <w:rPr>
                            <w:rFonts w:ascii="Tahoma" w:eastAsia="Times New Roman" w:hAnsi="Tahoma" w:cs="Tahoma"/>
                            <w:color w:val="303030"/>
                            <w:sz w:val="21"/>
                            <w:szCs w:val="21"/>
                          </w:rPr>
                          <w:lastRenderedPageBreak/>
                          <w:t>quadrivalent influenza vaccine (surface antigen, inactivated) suspension for injection 0.5ml pre-filled syringes, by Seqirus UK'. This reflects the generic version of the vaccine that is being administered, in line with the marketed vaccines for 2022/23.</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Login to MYS to submit your flu vaccine claims</w:t>
                          </w:r>
                        </w:hyperlink>
                        <w:r>
                          <w:rPr>
                            <w:rFonts w:ascii="Tahoma" w:eastAsia="Times New Roman" w:hAnsi="Tahoma" w:cs="Tahoma"/>
                            <w:color w:val="303030"/>
                            <w:sz w:val="21"/>
                            <w:szCs w:val="21"/>
                          </w:rPr>
                          <w:t xml:space="preserve"> </w:t>
                        </w:r>
                      </w:p>
                      <w:p w14:paraId="194FB67B"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66D977">
                            <v:rect id="_x0000_i1036" style="width:468pt;height:1.5pt" o:hrstd="t" o:hr="t" fillcolor="#a0a0a0" stroked="f"/>
                          </w:pict>
                        </w:r>
                      </w:p>
                      <w:p w14:paraId="22185597" w14:textId="77777777" w:rsidR="00582483" w:rsidRDefault="00582483" w:rsidP="00C00A75">
                        <w:pPr>
                          <w:pStyle w:val="Heading2"/>
                          <w:spacing w:after="0"/>
                          <w:rPr>
                            <w:rFonts w:eastAsia="Times New Roman"/>
                          </w:rPr>
                        </w:pPr>
                        <w:r>
                          <w:rPr>
                            <w:rFonts w:eastAsia="Times New Roman"/>
                          </w:rPr>
                          <w:t>MHRA Drug Safety Update</w:t>
                        </w:r>
                      </w:p>
                      <w:p w14:paraId="1A985195" w14:textId="77777777" w:rsidR="00582483" w:rsidRDefault="00582483" w:rsidP="00C00A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new Medicines and Healthcare products Regulatory Agency (MHRA) Drug Safety Update has been published. The latest MHRA Drug Safety Update includes articles on Methylphenidate long-acting (modified-release) preparations, COVID-19 vaccines and medicines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history="1">
                          <w:r>
                            <w:rPr>
                              <w:rStyle w:val="Hyperlink"/>
                              <w:rFonts w:ascii="Tahoma" w:eastAsia="Times New Roman" w:hAnsi="Tahoma" w:cs="Tahoma"/>
                              <w:b/>
                              <w:bCs/>
                              <w:color w:val="4E3487"/>
                              <w:sz w:val="21"/>
                              <w:szCs w:val="21"/>
                            </w:rPr>
                            <w:t>Read the September MHRA Drug Safety Update</w:t>
                          </w:r>
                        </w:hyperlink>
                      </w:p>
                    </w:tc>
                    <w:tc>
                      <w:tcPr>
                        <w:tcW w:w="150" w:type="dxa"/>
                        <w:vAlign w:val="center"/>
                        <w:hideMark/>
                      </w:tcPr>
                      <w:p w14:paraId="607E7ECB" w14:textId="77777777" w:rsidR="00582483" w:rsidRDefault="00582483" w:rsidP="00C00A75">
                        <w:pPr>
                          <w:spacing w:line="264" w:lineRule="auto"/>
                          <w:rPr>
                            <w:rFonts w:ascii="Tahoma" w:eastAsia="Times New Roman" w:hAnsi="Tahoma" w:cs="Tahoma"/>
                            <w:color w:val="303030"/>
                            <w:sz w:val="21"/>
                            <w:szCs w:val="21"/>
                          </w:rPr>
                        </w:pPr>
                      </w:p>
                    </w:tc>
                  </w:tr>
                  <w:tr w:rsidR="00582483" w14:paraId="1103B1AC" w14:textId="77777777">
                    <w:trPr>
                      <w:trHeight w:val="150"/>
                      <w:tblCellSpacing w:w="15" w:type="dxa"/>
                      <w:jc w:val="center"/>
                    </w:trPr>
                    <w:tc>
                      <w:tcPr>
                        <w:tcW w:w="150" w:type="dxa"/>
                        <w:vAlign w:val="center"/>
                        <w:hideMark/>
                      </w:tcPr>
                      <w:p w14:paraId="1141CAB5" w14:textId="77777777" w:rsidR="00582483" w:rsidRDefault="00582483" w:rsidP="00C00A75">
                        <w:pPr>
                          <w:spacing w:line="264" w:lineRule="auto"/>
                          <w:rPr>
                            <w:rFonts w:ascii="Times New Roman" w:eastAsia="Times New Roman" w:hAnsi="Times New Roman" w:cs="Times New Roman"/>
                            <w:sz w:val="20"/>
                            <w:szCs w:val="20"/>
                          </w:rPr>
                        </w:pPr>
                      </w:p>
                    </w:tc>
                    <w:tc>
                      <w:tcPr>
                        <w:tcW w:w="8700" w:type="dxa"/>
                        <w:vAlign w:val="center"/>
                        <w:hideMark/>
                      </w:tcPr>
                      <w:p w14:paraId="240A3648" w14:textId="77777777" w:rsidR="00582483" w:rsidRDefault="00582483" w:rsidP="00C00A75">
                        <w:pPr>
                          <w:spacing w:line="264" w:lineRule="auto"/>
                          <w:rPr>
                            <w:rFonts w:ascii="Times New Roman" w:eastAsia="Times New Roman" w:hAnsi="Times New Roman" w:cs="Times New Roman"/>
                            <w:sz w:val="20"/>
                            <w:szCs w:val="20"/>
                          </w:rPr>
                        </w:pPr>
                      </w:p>
                    </w:tc>
                    <w:tc>
                      <w:tcPr>
                        <w:tcW w:w="150" w:type="dxa"/>
                        <w:vAlign w:val="center"/>
                        <w:hideMark/>
                      </w:tcPr>
                      <w:p w14:paraId="36D1284C" w14:textId="77777777" w:rsidR="00582483" w:rsidRDefault="00582483" w:rsidP="00C00A75">
                        <w:pPr>
                          <w:spacing w:line="264" w:lineRule="auto"/>
                          <w:rPr>
                            <w:rFonts w:ascii="Times New Roman" w:eastAsia="Times New Roman" w:hAnsi="Times New Roman" w:cs="Times New Roman"/>
                            <w:sz w:val="20"/>
                            <w:szCs w:val="20"/>
                          </w:rPr>
                        </w:pPr>
                      </w:p>
                    </w:tc>
                  </w:tr>
                </w:tbl>
                <w:p w14:paraId="55C3C097" w14:textId="77777777" w:rsidR="00582483" w:rsidRDefault="00582483" w:rsidP="00C00A75">
                  <w:pPr>
                    <w:spacing w:line="264" w:lineRule="auto"/>
                    <w:rPr>
                      <w:rFonts w:ascii="Times New Roman" w:eastAsia="Times New Roman" w:hAnsi="Times New Roman" w:cs="Times New Roman"/>
                      <w:sz w:val="20"/>
                      <w:szCs w:val="20"/>
                    </w:rPr>
                  </w:pPr>
                </w:p>
              </w:tc>
            </w:tr>
          </w:tbl>
          <w:p w14:paraId="58983951" w14:textId="77777777" w:rsidR="00582483" w:rsidRDefault="00582483">
            <w:pPr>
              <w:jc w:val="center"/>
              <w:rPr>
                <w:rFonts w:ascii="Times New Roman" w:eastAsia="Times New Roman" w:hAnsi="Times New Roman" w:cs="Times New Roman"/>
                <w:sz w:val="20"/>
                <w:szCs w:val="20"/>
              </w:rPr>
            </w:pPr>
          </w:p>
        </w:tc>
      </w:tr>
      <w:tr w:rsidR="00582483" w14:paraId="6F450A67" w14:textId="77777777" w:rsidTr="00582483">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82483" w14:paraId="359916E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82483" w14:paraId="4230FF1F" w14:textId="77777777">
                    <w:trPr>
                      <w:tblCellSpacing w:w="0" w:type="dxa"/>
                      <w:jc w:val="center"/>
                    </w:trPr>
                    <w:tc>
                      <w:tcPr>
                        <w:tcW w:w="3000" w:type="dxa"/>
                        <w:tcMar>
                          <w:top w:w="30" w:type="dxa"/>
                          <w:left w:w="75" w:type="dxa"/>
                          <w:bottom w:w="30" w:type="dxa"/>
                          <w:right w:w="75" w:type="dxa"/>
                        </w:tcMar>
                        <w:hideMark/>
                      </w:tcPr>
                      <w:p w14:paraId="208F352C" w14:textId="77777777" w:rsidR="00582483" w:rsidRDefault="00582483">
                        <w:pPr>
                          <w:pStyle w:val="Heading4"/>
                          <w:jc w:val="center"/>
                          <w:rPr>
                            <w:rFonts w:eastAsia="Times New Roman"/>
                          </w:rPr>
                        </w:pPr>
                        <w:r>
                          <w:rPr>
                            <w:rFonts w:eastAsia="Times New Roman"/>
                          </w:rPr>
                          <w:lastRenderedPageBreak/>
                          <w:t>Pharmaceutical Services Negotiating Committee</w:t>
                        </w:r>
                      </w:p>
                      <w:p w14:paraId="30F797B3" w14:textId="75E0F5AA" w:rsidR="00582483" w:rsidRDefault="0058248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7B151CA" wp14:editId="2C6D3D9A">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9BAEFD" wp14:editId="6A0BD30A">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794FC73" wp14:editId="16E8BE82">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9A587C4" wp14:editId="534CA93C">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5838924" w14:textId="77777777" w:rsidR="00582483" w:rsidRDefault="0058248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82483" w14:paraId="6FEFA661" w14:textId="77777777" w:rsidTr="00C00A75">
                    <w:trPr>
                      <w:trHeight w:val="20"/>
                      <w:tblCellSpacing w:w="0" w:type="dxa"/>
                      <w:jc w:val="center"/>
                    </w:trPr>
                    <w:tc>
                      <w:tcPr>
                        <w:tcW w:w="9000" w:type="dxa"/>
                        <w:tcMar>
                          <w:top w:w="150" w:type="dxa"/>
                          <w:left w:w="0" w:type="dxa"/>
                          <w:bottom w:w="0" w:type="dxa"/>
                          <w:right w:w="0" w:type="dxa"/>
                        </w:tcMar>
                        <w:vAlign w:val="center"/>
                        <w:hideMark/>
                      </w:tcPr>
                      <w:p w14:paraId="6CB82851" w14:textId="484F04A7" w:rsidR="00582483" w:rsidRDefault="00582483" w:rsidP="00C00A75">
                        <w:pPr>
                          <w:rPr>
                            <w:rFonts w:ascii="Arial" w:eastAsia="Times New Roman" w:hAnsi="Arial" w:cs="Arial"/>
                            <w:color w:val="FFFFFF"/>
                            <w:sz w:val="17"/>
                            <w:szCs w:val="17"/>
                          </w:rPr>
                        </w:pPr>
                      </w:p>
                    </w:tc>
                  </w:tr>
                </w:tbl>
                <w:p w14:paraId="57CEDA49" w14:textId="77777777" w:rsidR="00582483" w:rsidRDefault="00582483">
                  <w:pPr>
                    <w:jc w:val="center"/>
                    <w:rPr>
                      <w:rFonts w:ascii="Times New Roman" w:eastAsia="Times New Roman" w:hAnsi="Times New Roman" w:cs="Times New Roman"/>
                      <w:sz w:val="20"/>
                      <w:szCs w:val="20"/>
                    </w:rPr>
                  </w:pPr>
                </w:p>
              </w:tc>
            </w:tr>
          </w:tbl>
          <w:p w14:paraId="4D0FB950" w14:textId="77777777" w:rsidR="00582483" w:rsidRDefault="00582483">
            <w:pPr>
              <w:jc w:val="center"/>
              <w:rPr>
                <w:rFonts w:ascii="Times New Roman" w:eastAsia="Times New Roman" w:hAnsi="Times New Roman" w:cs="Times New Roman"/>
                <w:sz w:val="20"/>
                <w:szCs w:val="20"/>
              </w:rPr>
            </w:pPr>
          </w:p>
        </w:tc>
      </w:tr>
    </w:tbl>
    <w:p w14:paraId="46ACF12D" w14:textId="326F613C" w:rsidR="00582483" w:rsidRDefault="00582483" w:rsidP="00582483">
      <w:pPr>
        <w:rPr>
          <w:rFonts w:eastAsia="Times New Roman"/>
        </w:rPr>
      </w:pPr>
      <w:r>
        <w:rPr>
          <w:rFonts w:eastAsia="Times New Roman"/>
          <w:noProof/>
        </w:rPr>
        <w:drawing>
          <wp:inline distT="0" distB="0" distL="0" distR="0" wp14:anchorId="0E5648B1" wp14:editId="31A8C3E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BB6B49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83"/>
    <w:rsid w:val="00582483"/>
    <w:rsid w:val="00C00A7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9539"/>
  <w15:chartTrackingRefBased/>
  <w15:docId w15:val="{5DE8BF82-5BC5-4C1B-A19D-D1EEC8F4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83"/>
    <w:rPr>
      <w:rFonts w:ascii="Calibri" w:hAnsi="Calibri" w:cs="Calibri"/>
      <w:lang w:eastAsia="en-GB"/>
    </w:rPr>
  </w:style>
  <w:style w:type="paragraph" w:styleId="Heading1">
    <w:name w:val="heading 1"/>
    <w:basedOn w:val="Normal"/>
    <w:link w:val="Heading1Char"/>
    <w:uiPriority w:val="9"/>
    <w:qFormat/>
    <w:rsid w:val="0058248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82483"/>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58248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8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82483"/>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582483"/>
    <w:rPr>
      <w:rFonts w:ascii="Tahoma" w:hAnsi="Tahoma" w:cs="Tahoma"/>
      <w:b/>
      <w:bCs/>
      <w:color w:val="FFFFFF"/>
      <w:sz w:val="18"/>
      <w:szCs w:val="18"/>
      <w:lang w:eastAsia="en-GB"/>
    </w:rPr>
  </w:style>
  <w:style w:type="paragraph" w:styleId="NormalWeb">
    <w:name w:val="Normal (Web)"/>
    <w:basedOn w:val="Normal"/>
    <w:uiPriority w:val="99"/>
    <w:semiHidden/>
    <w:unhideWhenUsed/>
    <w:rsid w:val="00582483"/>
    <w:pPr>
      <w:spacing w:before="100" w:beforeAutospacing="1" w:after="100" w:afterAutospacing="1"/>
    </w:pPr>
  </w:style>
  <w:style w:type="character" w:styleId="Strong">
    <w:name w:val="Strong"/>
    <w:basedOn w:val="DefaultParagraphFont"/>
    <w:uiPriority w:val="22"/>
    <w:qFormat/>
    <w:rsid w:val="00582483"/>
    <w:rPr>
      <w:b/>
      <w:bCs/>
    </w:rPr>
  </w:style>
  <w:style w:type="character" w:styleId="Hyperlink">
    <w:name w:val="Hyperlink"/>
    <w:basedOn w:val="DefaultParagraphFont"/>
    <w:uiPriority w:val="99"/>
    <w:semiHidden/>
    <w:unhideWhenUsed/>
    <w:rsid w:val="005824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f32fa3a41&amp;e=d19e9fd41c" TargetMode="External"/><Relationship Id="rId13" Type="http://schemas.openxmlformats.org/officeDocument/2006/relationships/hyperlink" Target="https://psnc.us7.list-manage.com/track/click?u=86d41ab7fa4c7c2c5d7210782&amp;id=2f5f3ffb1d&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f39542b0a&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e5528e33dc&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4f566d6af6&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43b831fae7&amp;e=d19e9fd41c" TargetMode="External"/><Relationship Id="rId19" Type="http://schemas.openxmlformats.org/officeDocument/2006/relationships/hyperlink" Target="https://psnc.us7.list-manage.com/track/click?u=86d41ab7fa4c7c2c5d7210782&amp;id=651e299911&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d0d6d1c99&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b10ab01675&amp;e=d19e9fd41c" TargetMode="External"/><Relationship Id="rId27" Type="http://schemas.openxmlformats.org/officeDocument/2006/relationships/image" Target="https://psnc.us7.list-manage.com/track/open.php?u=86d41ab7fa4c7c2c5d7210782&amp;id=ab76141308&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2022-10-10T08:30:00Z</dcterms:created>
  <dcterms:modified xsi:type="dcterms:W3CDTF">2022-10-10T08:46:00Z</dcterms:modified>
</cp:coreProperties>
</file>