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C4587" w14:paraId="4CDEE4A9" w14:textId="77777777" w:rsidTr="000C458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C4587" w14:paraId="6185934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C4587" w14:paraId="5A2E215B" w14:textId="77777777">
                    <w:trPr>
                      <w:tblCellSpacing w:w="0" w:type="dxa"/>
                      <w:jc w:val="center"/>
                    </w:trPr>
                    <w:tc>
                      <w:tcPr>
                        <w:tcW w:w="3000" w:type="dxa"/>
                        <w:hideMark/>
                      </w:tcPr>
                      <w:p w14:paraId="5FDA7101" w14:textId="075BD153" w:rsidR="000C4587" w:rsidRDefault="000C458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6C292C6" w14:textId="77777777" w:rsidR="000C4587" w:rsidRDefault="000C4587">
                  <w:pPr>
                    <w:jc w:val="center"/>
                    <w:rPr>
                      <w:rFonts w:ascii="Times New Roman" w:eastAsia="Times New Roman" w:hAnsi="Times New Roman" w:cs="Times New Roman"/>
                      <w:sz w:val="20"/>
                      <w:szCs w:val="20"/>
                    </w:rPr>
                  </w:pPr>
                </w:p>
              </w:tc>
            </w:tr>
            <w:tr w:rsidR="000C4587" w14:paraId="2395684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C4587" w14:paraId="6C7CABF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EBF5069" w14:textId="7A8E80EF" w:rsidR="000C4587" w:rsidRDefault="000C4587">
                        <w:pPr>
                          <w:jc w:val="center"/>
                          <w:rPr>
                            <w:rFonts w:eastAsia="Times New Roman"/>
                          </w:rPr>
                        </w:pPr>
                        <w:r>
                          <w:rPr>
                            <w:rFonts w:eastAsia="Times New Roman"/>
                            <w:noProof/>
                          </w:rPr>
                          <w:drawing>
                            <wp:inline distT="0" distB="0" distL="0" distR="0" wp14:anchorId="51C64AF6" wp14:editId="4F33353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C4587" w14:paraId="7CDC297B" w14:textId="77777777">
                    <w:trPr>
                      <w:tblCellSpacing w:w="0" w:type="dxa"/>
                    </w:trPr>
                    <w:tc>
                      <w:tcPr>
                        <w:tcW w:w="0" w:type="auto"/>
                        <w:vMerge/>
                        <w:tcBorders>
                          <w:top w:val="nil"/>
                          <w:left w:val="nil"/>
                          <w:bottom w:val="single" w:sz="2" w:space="0" w:color="FFFFFF"/>
                          <w:right w:val="nil"/>
                        </w:tcBorders>
                        <w:vAlign w:val="center"/>
                        <w:hideMark/>
                      </w:tcPr>
                      <w:p w14:paraId="05DE7BE0" w14:textId="77777777" w:rsidR="000C4587" w:rsidRDefault="000C4587">
                        <w:pPr>
                          <w:rPr>
                            <w:rFonts w:eastAsia="Times New Roman"/>
                          </w:rPr>
                        </w:pPr>
                      </w:p>
                    </w:tc>
                    <w:tc>
                      <w:tcPr>
                        <w:tcW w:w="3450" w:type="dxa"/>
                        <w:tcBorders>
                          <w:top w:val="nil"/>
                          <w:left w:val="nil"/>
                          <w:bottom w:val="nil"/>
                          <w:right w:val="nil"/>
                        </w:tcBorders>
                        <w:vAlign w:val="center"/>
                        <w:hideMark/>
                      </w:tcPr>
                      <w:p w14:paraId="43430323" w14:textId="77777777" w:rsidR="000C4587" w:rsidRDefault="000C4587">
                        <w:pPr>
                          <w:pStyle w:val="Heading1"/>
                          <w:rPr>
                            <w:rFonts w:eastAsia="Times New Roman"/>
                          </w:rPr>
                        </w:pPr>
                        <w:r>
                          <w:rPr>
                            <w:rFonts w:eastAsia="Times New Roman"/>
                          </w:rPr>
                          <w:t>PSNC Newsletter</w:t>
                        </w:r>
                      </w:p>
                    </w:tc>
                  </w:tr>
                  <w:tr w:rsidR="000C4587" w14:paraId="1A8898D3" w14:textId="77777777">
                    <w:trPr>
                      <w:tblCellSpacing w:w="0" w:type="dxa"/>
                    </w:trPr>
                    <w:tc>
                      <w:tcPr>
                        <w:tcW w:w="0" w:type="auto"/>
                        <w:vMerge/>
                        <w:tcBorders>
                          <w:top w:val="nil"/>
                          <w:left w:val="nil"/>
                          <w:bottom w:val="single" w:sz="2" w:space="0" w:color="FFFFFF"/>
                          <w:right w:val="nil"/>
                        </w:tcBorders>
                        <w:vAlign w:val="center"/>
                        <w:hideMark/>
                      </w:tcPr>
                      <w:p w14:paraId="253056BC" w14:textId="77777777" w:rsidR="000C4587" w:rsidRDefault="000C458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A7C384C" w14:textId="77777777" w:rsidR="000C4587" w:rsidRDefault="000C4587">
                        <w:pPr>
                          <w:pStyle w:val="Heading2"/>
                          <w:rPr>
                            <w:rFonts w:eastAsia="Times New Roman"/>
                            <w:color w:val="93378A"/>
                          </w:rPr>
                        </w:pPr>
                        <w:r>
                          <w:rPr>
                            <w:rFonts w:eastAsia="Times New Roman"/>
                            <w:color w:val="93378A"/>
                          </w:rPr>
                          <w:t>Wednesday 26th October 2022</w:t>
                        </w:r>
                      </w:p>
                    </w:tc>
                  </w:tr>
                </w:tbl>
                <w:p w14:paraId="055B88A2" w14:textId="77777777" w:rsidR="000C4587" w:rsidRDefault="000C4587">
                  <w:pPr>
                    <w:rPr>
                      <w:rFonts w:ascii="Times New Roman" w:eastAsia="Times New Roman" w:hAnsi="Times New Roman" w:cs="Times New Roman"/>
                      <w:sz w:val="20"/>
                      <w:szCs w:val="20"/>
                    </w:rPr>
                  </w:pPr>
                </w:p>
              </w:tc>
            </w:tr>
            <w:tr w:rsidR="000C4587" w14:paraId="181D7231" w14:textId="77777777">
              <w:tblPrEx>
                <w:shd w:val="clear" w:color="auto" w:fill="auto"/>
              </w:tblPrEx>
              <w:trPr>
                <w:tblCellSpacing w:w="0" w:type="dxa"/>
                <w:jc w:val="center"/>
              </w:trPr>
              <w:tc>
                <w:tcPr>
                  <w:tcW w:w="9000" w:type="dxa"/>
                  <w:hideMark/>
                </w:tcPr>
                <w:p w14:paraId="35CD17F9" w14:textId="1FD530CD" w:rsidR="000C4587" w:rsidRDefault="000C4587">
                  <w:pPr>
                    <w:rPr>
                      <w:rFonts w:eastAsia="Times New Roman"/>
                    </w:rPr>
                  </w:pPr>
                  <w:r>
                    <w:rPr>
                      <w:rFonts w:eastAsia="Times New Roman"/>
                      <w:noProof/>
                    </w:rPr>
                    <w:drawing>
                      <wp:inline distT="0" distB="0" distL="0" distR="0" wp14:anchorId="3F36AB44" wp14:editId="6B5B122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C4587" w14:paraId="5364CE2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0C4587" w14:paraId="06592EA8" w14:textId="77777777">
                    <w:trPr>
                      <w:trHeight w:val="150"/>
                      <w:tblCellSpacing w:w="15" w:type="dxa"/>
                      <w:jc w:val="center"/>
                    </w:trPr>
                    <w:tc>
                      <w:tcPr>
                        <w:tcW w:w="150" w:type="dxa"/>
                        <w:vAlign w:val="center"/>
                        <w:hideMark/>
                      </w:tcPr>
                      <w:p w14:paraId="3CB28743" w14:textId="77777777" w:rsidR="000C4587" w:rsidRDefault="000C4587">
                        <w:pPr>
                          <w:rPr>
                            <w:rFonts w:eastAsia="Times New Roman"/>
                          </w:rPr>
                        </w:pPr>
                      </w:p>
                    </w:tc>
                    <w:tc>
                      <w:tcPr>
                        <w:tcW w:w="8700" w:type="dxa"/>
                        <w:vAlign w:val="center"/>
                        <w:hideMark/>
                      </w:tcPr>
                      <w:p w14:paraId="27FBD76E" w14:textId="77777777" w:rsidR="000C4587" w:rsidRDefault="000C4587">
                        <w:pPr>
                          <w:rPr>
                            <w:rFonts w:ascii="Times New Roman" w:eastAsia="Times New Roman" w:hAnsi="Times New Roman" w:cs="Times New Roman"/>
                            <w:sz w:val="20"/>
                            <w:szCs w:val="20"/>
                          </w:rPr>
                        </w:pPr>
                      </w:p>
                    </w:tc>
                    <w:tc>
                      <w:tcPr>
                        <w:tcW w:w="150" w:type="dxa"/>
                        <w:vAlign w:val="center"/>
                        <w:hideMark/>
                      </w:tcPr>
                      <w:p w14:paraId="03845262" w14:textId="77777777" w:rsidR="000C4587" w:rsidRDefault="000C4587">
                        <w:pPr>
                          <w:rPr>
                            <w:rFonts w:ascii="Times New Roman" w:eastAsia="Times New Roman" w:hAnsi="Times New Roman" w:cs="Times New Roman"/>
                            <w:sz w:val="20"/>
                            <w:szCs w:val="20"/>
                          </w:rPr>
                        </w:pPr>
                      </w:p>
                    </w:tc>
                  </w:tr>
                  <w:tr w:rsidR="000C4587" w14:paraId="1F266CFE" w14:textId="77777777">
                    <w:trPr>
                      <w:tblCellSpacing w:w="15" w:type="dxa"/>
                      <w:jc w:val="center"/>
                    </w:trPr>
                    <w:tc>
                      <w:tcPr>
                        <w:tcW w:w="150" w:type="dxa"/>
                        <w:vAlign w:val="center"/>
                        <w:hideMark/>
                      </w:tcPr>
                      <w:p w14:paraId="265F8739" w14:textId="77777777" w:rsidR="000C4587" w:rsidRDefault="000C4587">
                        <w:pPr>
                          <w:rPr>
                            <w:rFonts w:ascii="Times New Roman" w:eastAsia="Times New Roman" w:hAnsi="Times New Roman" w:cs="Times New Roman"/>
                            <w:sz w:val="20"/>
                            <w:szCs w:val="20"/>
                          </w:rPr>
                        </w:pPr>
                      </w:p>
                    </w:tc>
                    <w:tc>
                      <w:tcPr>
                        <w:tcW w:w="8700" w:type="dxa"/>
                        <w:vAlign w:val="center"/>
                        <w:hideMark/>
                      </w:tcPr>
                      <w:p w14:paraId="39D36548" w14:textId="77777777" w:rsidR="000C4587" w:rsidRDefault="000C4587" w:rsidP="000C458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DE1513F" w14:textId="77777777" w:rsidR="000C4587" w:rsidRDefault="000C4587" w:rsidP="000C458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552FC3">
                            <v:rect id="_x0000_i1032" style="width:468pt;height:1.5pt" o:hrstd="t" o:hr="t" fillcolor="#a0a0a0" stroked="f"/>
                          </w:pict>
                        </w:r>
                      </w:p>
                      <w:p w14:paraId="47F6D2C6" w14:textId="77777777" w:rsidR="000C4587" w:rsidRDefault="000C4587" w:rsidP="000C4587">
                        <w:pPr>
                          <w:pStyle w:val="Heading2"/>
                          <w:spacing w:after="0"/>
                          <w:rPr>
                            <w:rFonts w:eastAsia="Times New Roman"/>
                          </w:rPr>
                        </w:pPr>
                        <w:r>
                          <w:rPr>
                            <w:rFonts w:eastAsia="Times New Roman"/>
                          </w:rPr>
                          <w:t>In this update: Community Pharmacy Workforce Survey deadline; new Health Secretary appointed; Medicine Supply Notices.</w:t>
                        </w:r>
                      </w:p>
                      <w:p w14:paraId="6300DD8E" w14:textId="77777777" w:rsidR="000C4587" w:rsidRDefault="000C4587" w:rsidP="000C458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216206E">
                            <v:rect id="_x0000_i1033" style="width:468pt;height:1.5pt" o:hrstd="t" o:hr="t" fillcolor="#a0a0a0" stroked="f"/>
                          </w:pict>
                        </w:r>
                      </w:p>
                      <w:p w14:paraId="33407272" w14:textId="77777777" w:rsidR="000C4587" w:rsidRDefault="000C4587" w:rsidP="000C4587">
                        <w:pPr>
                          <w:pStyle w:val="Heading2"/>
                          <w:spacing w:after="0"/>
                          <w:rPr>
                            <w:rFonts w:eastAsia="Times New Roman"/>
                          </w:rPr>
                        </w:pPr>
                        <w:r>
                          <w:rPr>
                            <w:rFonts w:eastAsia="Times New Roman"/>
                          </w:rPr>
                          <w:t>Have you completed the mandatory workforce survey yet?</w:t>
                        </w:r>
                      </w:p>
                      <w:p w14:paraId="4A733B6E" w14:textId="17D09D07" w:rsidR="000C4587" w:rsidRDefault="000C4587" w:rsidP="000C458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of the </w:t>
                        </w:r>
                        <w:r>
                          <w:rPr>
                            <w:rStyle w:val="Strong"/>
                            <w:rFonts w:ascii="Tahoma" w:eastAsia="Times New Roman" w:hAnsi="Tahoma" w:cs="Tahoma"/>
                            <w:color w:val="303030"/>
                            <w:sz w:val="21"/>
                            <w:szCs w:val="21"/>
                          </w:rPr>
                          <w:t>mandatory requirement</w:t>
                        </w:r>
                        <w:r>
                          <w:rPr>
                            <w:rFonts w:ascii="Tahoma" w:eastAsia="Times New Roman" w:hAnsi="Tahoma" w:cs="Tahoma"/>
                            <w:color w:val="303030"/>
                            <w:sz w:val="21"/>
                            <w:szCs w:val="21"/>
                          </w:rPr>
                          <w:t xml:space="preserve"> to complete the 2022 Community Pharmacy Workforce Survey, managed by Health Education England (HEE), by 30th November 2022. </w:t>
                        </w:r>
                      </w:p>
                      <w:p w14:paraId="3924C280" w14:textId="77777777" w:rsidR="000C4587" w:rsidRDefault="000C4587" w:rsidP="000C4587">
                        <w:pPr>
                          <w:spacing w:line="264" w:lineRule="auto"/>
                          <w:rPr>
                            <w:rFonts w:ascii="Tahoma" w:eastAsia="Times New Roman" w:hAnsi="Tahoma" w:cs="Tahoma"/>
                            <w:color w:val="303030"/>
                            <w:sz w:val="21"/>
                            <w:szCs w:val="21"/>
                          </w:rPr>
                        </w:pPr>
                      </w:p>
                      <w:p w14:paraId="41BBD7C2" w14:textId="77777777" w:rsidR="000C4587" w:rsidRDefault="000C4587" w:rsidP="000C458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NHS Business Services Authority sent an email to contractors on 6th October 2022 containing a link to the survey. In some cases, </w:t>
                        </w:r>
                        <w:proofErr w:type="gramStart"/>
                        <w:r>
                          <w:rPr>
                            <w:rFonts w:ascii="Tahoma" w:hAnsi="Tahoma" w:cs="Tahoma"/>
                            <w:color w:val="303030"/>
                            <w:sz w:val="21"/>
                            <w:szCs w:val="21"/>
                          </w:rPr>
                          <w:t>e.g.</w:t>
                        </w:r>
                        <w:proofErr w:type="gramEnd"/>
                        <w:r>
                          <w:rPr>
                            <w:rFonts w:ascii="Tahoma" w:hAnsi="Tahoma" w:cs="Tahoma"/>
                            <w:color w:val="303030"/>
                            <w:sz w:val="21"/>
                            <w:szCs w:val="21"/>
                          </w:rPr>
                          <w:t xml:space="preserve"> Company Chemists’ Association member companies and other larger multiple pharmacy groups, head offices will complete the survey centrally. If you are not sure whether the survey will be completed centrally, please ask your head office for guidance.</w:t>
                        </w:r>
                      </w:p>
                      <w:p w14:paraId="75EC164F" w14:textId="77777777" w:rsidR="000C4587" w:rsidRDefault="000C4587" w:rsidP="000C4587">
                        <w:pPr>
                          <w:spacing w:line="264" w:lineRule="auto"/>
                          <w:rPr>
                            <w:rFonts w:ascii="Tahoma" w:eastAsia="Times New Roman" w:hAnsi="Tahoma" w:cs="Tahoma"/>
                            <w:color w:val="303030"/>
                            <w:sz w:val="21"/>
                            <w:szCs w:val="21"/>
                          </w:rPr>
                        </w:pPr>
                      </w:p>
                      <w:p w14:paraId="5E50FD6C" w14:textId="524681BD" w:rsidR="000C4587" w:rsidRDefault="000C4587" w:rsidP="000C4587">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Find out more about the survey</w:t>
                          </w:r>
                        </w:hyperlink>
                        <w:r>
                          <w:rPr>
                            <w:rFonts w:ascii="Tahoma" w:eastAsia="Times New Roman" w:hAnsi="Tahoma" w:cs="Tahoma"/>
                            <w:color w:val="303030"/>
                            <w:sz w:val="21"/>
                            <w:szCs w:val="21"/>
                          </w:rPr>
                          <w:t xml:space="preserve"> </w:t>
                        </w:r>
                      </w:p>
                      <w:p w14:paraId="6417112B" w14:textId="77777777" w:rsidR="000C4587" w:rsidRDefault="000C4587" w:rsidP="000C458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5E71EEF">
                            <v:rect id="_x0000_i1034" style="width:468pt;height:1.5pt" o:hrstd="t" o:hr="t" fillcolor="#a0a0a0" stroked="f"/>
                          </w:pict>
                        </w:r>
                      </w:p>
                      <w:p w14:paraId="63FA7EE7" w14:textId="77777777" w:rsidR="000C4587" w:rsidRDefault="000C4587" w:rsidP="000C4587">
                        <w:pPr>
                          <w:pStyle w:val="Heading2"/>
                          <w:spacing w:after="0"/>
                          <w:rPr>
                            <w:rFonts w:eastAsia="Times New Roman"/>
                          </w:rPr>
                        </w:pPr>
                        <w:r>
                          <w:rPr>
                            <w:rFonts w:eastAsia="Times New Roman"/>
                          </w:rPr>
                          <w:t>Steve Barclay returns to DHSC as Health Secretary</w:t>
                        </w:r>
                      </w:p>
                      <w:p w14:paraId="1BE34D6B" w14:textId="77777777" w:rsidR="000C4587" w:rsidRDefault="000C4587" w:rsidP="000C458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Rt Hon Steve Barclay MP has been appointed as the new Secretary of State for Health and Social Care following the appointment of Rishi Sunak MP as Leader of the Conservative Party and Prime Minister of the UK.</w:t>
                        </w:r>
                        <w:r>
                          <w:rPr>
                            <w:rFonts w:ascii="Tahoma" w:eastAsia="Times New Roman" w:hAnsi="Tahoma" w:cs="Tahoma"/>
                            <w:color w:val="303030"/>
                            <w:sz w:val="21"/>
                            <w:szCs w:val="21"/>
                          </w:rPr>
                          <w:br/>
                        </w:r>
                        <w:r>
                          <w:rPr>
                            <w:rFonts w:ascii="Tahoma" w:eastAsia="Times New Roman" w:hAnsi="Tahoma" w:cs="Tahoma"/>
                            <w:color w:val="303030"/>
                            <w:sz w:val="21"/>
                            <w:szCs w:val="21"/>
                          </w:rPr>
                          <w:br/>
                          <w:t>Mr. Barclay takes over from Therese Coffey MP and is Conservative MP for North-East Cambridgeshire, having previously held the role of Health secretary between June – September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more about the appointment</w:t>
                          </w:r>
                        </w:hyperlink>
                        <w:r>
                          <w:rPr>
                            <w:rFonts w:ascii="Tahoma" w:eastAsia="Times New Roman" w:hAnsi="Tahoma" w:cs="Tahoma"/>
                            <w:color w:val="303030"/>
                            <w:sz w:val="21"/>
                            <w:szCs w:val="21"/>
                          </w:rPr>
                          <w:t xml:space="preserve"> </w:t>
                        </w:r>
                      </w:p>
                      <w:p w14:paraId="7A1DD21E" w14:textId="77777777" w:rsidR="000C4587" w:rsidRDefault="000C4587" w:rsidP="000C458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E9AA426">
                            <v:rect id="_x0000_i1035" style="width:468pt;height:1.5pt" o:hrstd="t" o:hr="t" fillcolor="#a0a0a0" stroked="f"/>
                          </w:pict>
                        </w:r>
                      </w:p>
                      <w:p w14:paraId="6512B757" w14:textId="77777777" w:rsidR="000C4587" w:rsidRDefault="000C4587" w:rsidP="000C4587">
                        <w:pPr>
                          <w:pStyle w:val="Heading2"/>
                          <w:spacing w:after="0"/>
                          <w:rPr>
                            <w:rFonts w:eastAsia="Times New Roman"/>
                          </w:rPr>
                        </w:pPr>
                        <w:r>
                          <w:rPr>
                            <w:rFonts w:eastAsia="Times New Roman"/>
                          </w:rPr>
                          <w:t>New Medicine Supply Notices issued</w:t>
                        </w:r>
                      </w:p>
                      <w:p w14:paraId="1A107AEB" w14:textId="77777777" w:rsidR="000C4587" w:rsidRDefault="000C4587" w:rsidP="000C458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issued medicine supply notifications for the following products: </w:t>
                        </w:r>
                      </w:p>
                      <w:p w14:paraId="05485BF2" w14:textId="77777777" w:rsidR="000C4587" w:rsidRDefault="000C4587" w:rsidP="000C4587">
                        <w:pPr>
                          <w:numPr>
                            <w:ilvl w:val="0"/>
                            <w:numId w:val="1"/>
                          </w:num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Pentoxifylline (Trental®) 400mg modified release tablets</w:t>
                          </w:r>
                        </w:hyperlink>
                      </w:p>
                      <w:p w14:paraId="43FC0CD5" w14:textId="77777777" w:rsidR="000C4587" w:rsidRDefault="000C4587" w:rsidP="000C4587">
                        <w:pPr>
                          <w:numPr>
                            <w:ilvl w:val="0"/>
                            <w:numId w:val="1"/>
                          </w:num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Azelaic acid (</w:t>
                          </w:r>
                          <w:proofErr w:type="spellStart"/>
                          <w:r>
                            <w:rPr>
                              <w:rStyle w:val="Hyperlink"/>
                              <w:rFonts w:ascii="Tahoma" w:eastAsia="Times New Roman" w:hAnsi="Tahoma" w:cs="Tahoma"/>
                              <w:b/>
                              <w:bCs/>
                              <w:color w:val="4E3487"/>
                              <w:sz w:val="21"/>
                              <w:szCs w:val="21"/>
                            </w:rPr>
                            <w:t>Finacea</w:t>
                          </w:r>
                          <w:proofErr w:type="spellEnd"/>
                          <w:r>
                            <w:rPr>
                              <w:rStyle w:val="Hyperlink"/>
                              <w:rFonts w:ascii="Tahoma" w:eastAsia="Times New Roman" w:hAnsi="Tahoma" w:cs="Tahoma"/>
                              <w:b/>
                              <w:bCs/>
                              <w:color w:val="4E3487"/>
                              <w:sz w:val="21"/>
                              <w:szCs w:val="21"/>
                            </w:rPr>
                            <w:t>®) 15% gel</w:t>
                          </w:r>
                        </w:hyperlink>
                      </w:p>
                      <w:p w14:paraId="378530E1" w14:textId="77777777" w:rsidR="000C4587" w:rsidRDefault="000C4587" w:rsidP="000C458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A copy of the above notifications, including further information, has been sent to all pharmacy NHS email addresses. </w:t>
                        </w:r>
                      </w:p>
                    </w:tc>
                    <w:tc>
                      <w:tcPr>
                        <w:tcW w:w="150" w:type="dxa"/>
                        <w:vAlign w:val="center"/>
                        <w:hideMark/>
                      </w:tcPr>
                      <w:p w14:paraId="0BB0F7FD" w14:textId="77777777" w:rsidR="000C4587" w:rsidRDefault="000C4587">
                        <w:pPr>
                          <w:rPr>
                            <w:rFonts w:ascii="Tahoma" w:eastAsia="Times New Roman" w:hAnsi="Tahoma" w:cs="Tahoma"/>
                            <w:color w:val="303030"/>
                            <w:sz w:val="21"/>
                            <w:szCs w:val="21"/>
                          </w:rPr>
                        </w:pPr>
                      </w:p>
                    </w:tc>
                  </w:tr>
                  <w:tr w:rsidR="000C4587" w14:paraId="20D9A713" w14:textId="77777777">
                    <w:trPr>
                      <w:trHeight w:val="150"/>
                      <w:tblCellSpacing w:w="15" w:type="dxa"/>
                      <w:jc w:val="center"/>
                    </w:trPr>
                    <w:tc>
                      <w:tcPr>
                        <w:tcW w:w="150" w:type="dxa"/>
                        <w:vAlign w:val="center"/>
                        <w:hideMark/>
                      </w:tcPr>
                      <w:p w14:paraId="20301C13" w14:textId="77777777" w:rsidR="000C4587" w:rsidRDefault="000C4587">
                        <w:pPr>
                          <w:rPr>
                            <w:rFonts w:ascii="Times New Roman" w:eastAsia="Times New Roman" w:hAnsi="Times New Roman" w:cs="Times New Roman"/>
                            <w:sz w:val="20"/>
                            <w:szCs w:val="20"/>
                          </w:rPr>
                        </w:pPr>
                      </w:p>
                    </w:tc>
                    <w:tc>
                      <w:tcPr>
                        <w:tcW w:w="8700" w:type="dxa"/>
                        <w:vAlign w:val="center"/>
                        <w:hideMark/>
                      </w:tcPr>
                      <w:p w14:paraId="70B1C989" w14:textId="77777777" w:rsidR="000C4587" w:rsidRDefault="000C4587">
                        <w:pPr>
                          <w:rPr>
                            <w:rFonts w:ascii="Times New Roman" w:eastAsia="Times New Roman" w:hAnsi="Times New Roman" w:cs="Times New Roman"/>
                            <w:sz w:val="20"/>
                            <w:szCs w:val="20"/>
                          </w:rPr>
                        </w:pPr>
                      </w:p>
                    </w:tc>
                    <w:tc>
                      <w:tcPr>
                        <w:tcW w:w="150" w:type="dxa"/>
                        <w:vAlign w:val="center"/>
                        <w:hideMark/>
                      </w:tcPr>
                      <w:p w14:paraId="6F8D754B" w14:textId="77777777" w:rsidR="000C4587" w:rsidRDefault="000C4587">
                        <w:pPr>
                          <w:rPr>
                            <w:rFonts w:ascii="Times New Roman" w:eastAsia="Times New Roman" w:hAnsi="Times New Roman" w:cs="Times New Roman"/>
                            <w:sz w:val="20"/>
                            <w:szCs w:val="20"/>
                          </w:rPr>
                        </w:pPr>
                      </w:p>
                    </w:tc>
                  </w:tr>
                </w:tbl>
                <w:p w14:paraId="58EB3BDF" w14:textId="77777777" w:rsidR="000C4587" w:rsidRDefault="000C4587">
                  <w:pPr>
                    <w:jc w:val="center"/>
                    <w:rPr>
                      <w:rFonts w:ascii="Times New Roman" w:eastAsia="Times New Roman" w:hAnsi="Times New Roman" w:cs="Times New Roman"/>
                      <w:sz w:val="20"/>
                      <w:szCs w:val="20"/>
                    </w:rPr>
                  </w:pPr>
                </w:p>
              </w:tc>
            </w:tr>
          </w:tbl>
          <w:p w14:paraId="5D457679" w14:textId="77777777" w:rsidR="000C4587" w:rsidRDefault="000C4587">
            <w:pPr>
              <w:jc w:val="center"/>
              <w:rPr>
                <w:rFonts w:ascii="Times New Roman" w:eastAsia="Times New Roman" w:hAnsi="Times New Roman" w:cs="Times New Roman"/>
                <w:sz w:val="20"/>
                <w:szCs w:val="20"/>
              </w:rPr>
            </w:pPr>
          </w:p>
        </w:tc>
      </w:tr>
      <w:tr w:rsidR="000C4587" w14:paraId="45FCC464" w14:textId="77777777" w:rsidTr="000C458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C4587" w14:paraId="0680066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C4587" w14:paraId="0C7F2EC1" w14:textId="77777777">
                    <w:trPr>
                      <w:tblCellSpacing w:w="0" w:type="dxa"/>
                      <w:jc w:val="center"/>
                    </w:trPr>
                    <w:tc>
                      <w:tcPr>
                        <w:tcW w:w="3000" w:type="dxa"/>
                        <w:tcMar>
                          <w:top w:w="30" w:type="dxa"/>
                          <w:left w:w="75" w:type="dxa"/>
                          <w:bottom w:w="30" w:type="dxa"/>
                          <w:right w:w="75" w:type="dxa"/>
                        </w:tcMar>
                        <w:hideMark/>
                      </w:tcPr>
                      <w:p w14:paraId="1DF70608" w14:textId="77777777" w:rsidR="000C4587" w:rsidRDefault="000C4587">
                        <w:pPr>
                          <w:pStyle w:val="Heading4"/>
                          <w:jc w:val="center"/>
                          <w:rPr>
                            <w:rFonts w:eastAsia="Times New Roman"/>
                          </w:rPr>
                        </w:pPr>
                        <w:r>
                          <w:rPr>
                            <w:rFonts w:eastAsia="Times New Roman"/>
                          </w:rPr>
                          <w:lastRenderedPageBreak/>
                          <w:t>Pharmaceutical Services Negotiating Committee</w:t>
                        </w:r>
                      </w:p>
                      <w:p w14:paraId="28AF2432" w14:textId="53537A9C" w:rsidR="000C4587" w:rsidRDefault="000C458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D97F9CE" wp14:editId="5353DD09">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A572FEC" wp14:editId="43E3A1F5">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DD653A4" wp14:editId="03663093">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538B6D" wp14:editId="3EB5F671">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20C49FC" w14:textId="77777777" w:rsidR="000C4587" w:rsidRDefault="000C458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C4587" w14:paraId="2C48E391" w14:textId="77777777" w:rsidTr="000C4587">
                    <w:trPr>
                      <w:trHeight w:val="165"/>
                      <w:tblCellSpacing w:w="0" w:type="dxa"/>
                      <w:jc w:val="center"/>
                    </w:trPr>
                    <w:tc>
                      <w:tcPr>
                        <w:tcW w:w="9000" w:type="dxa"/>
                        <w:tcMar>
                          <w:top w:w="150" w:type="dxa"/>
                          <w:left w:w="0" w:type="dxa"/>
                          <w:bottom w:w="0" w:type="dxa"/>
                          <w:right w:w="0" w:type="dxa"/>
                        </w:tcMar>
                        <w:vAlign w:val="center"/>
                        <w:hideMark/>
                      </w:tcPr>
                      <w:p w14:paraId="06314C4D" w14:textId="4B3E0A44" w:rsidR="000C4587" w:rsidRDefault="000C4587" w:rsidP="000C4587">
                        <w:pPr>
                          <w:rPr>
                            <w:rFonts w:ascii="Arial" w:eastAsia="Times New Roman" w:hAnsi="Arial" w:cs="Arial"/>
                            <w:color w:val="FFFFFF"/>
                            <w:sz w:val="17"/>
                            <w:szCs w:val="17"/>
                          </w:rPr>
                        </w:pPr>
                      </w:p>
                    </w:tc>
                  </w:tr>
                </w:tbl>
                <w:p w14:paraId="034EF0FF" w14:textId="77777777" w:rsidR="000C4587" w:rsidRDefault="000C4587">
                  <w:pPr>
                    <w:jc w:val="center"/>
                    <w:rPr>
                      <w:rFonts w:ascii="Times New Roman" w:eastAsia="Times New Roman" w:hAnsi="Times New Roman" w:cs="Times New Roman"/>
                      <w:sz w:val="20"/>
                      <w:szCs w:val="20"/>
                    </w:rPr>
                  </w:pPr>
                </w:p>
              </w:tc>
            </w:tr>
          </w:tbl>
          <w:p w14:paraId="78829E38" w14:textId="77777777" w:rsidR="000C4587" w:rsidRDefault="000C4587">
            <w:pPr>
              <w:jc w:val="center"/>
              <w:rPr>
                <w:rFonts w:ascii="Times New Roman" w:eastAsia="Times New Roman" w:hAnsi="Times New Roman" w:cs="Times New Roman"/>
                <w:sz w:val="20"/>
                <w:szCs w:val="20"/>
              </w:rPr>
            </w:pPr>
          </w:p>
        </w:tc>
      </w:tr>
    </w:tbl>
    <w:p w14:paraId="0D071D34" w14:textId="4E59FB3A" w:rsidR="000C4587" w:rsidRDefault="000C4587" w:rsidP="000C4587">
      <w:pPr>
        <w:rPr>
          <w:rFonts w:eastAsia="Times New Roman"/>
        </w:rPr>
      </w:pPr>
      <w:r>
        <w:rPr>
          <w:rFonts w:eastAsia="Times New Roman"/>
          <w:noProof/>
        </w:rPr>
        <w:drawing>
          <wp:inline distT="0" distB="0" distL="0" distR="0" wp14:anchorId="3A18AE10" wp14:editId="0EA7970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12E8B6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1143B"/>
    <w:multiLevelType w:val="multilevel"/>
    <w:tmpl w:val="961AE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18451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87"/>
    <w:rsid w:val="000C458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4CDE"/>
  <w15:chartTrackingRefBased/>
  <w15:docId w15:val="{04CAC1AD-7378-4463-8B0F-600E8E0E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87"/>
    <w:rPr>
      <w:rFonts w:ascii="Calibri" w:hAnsi="Calibri" w:cs="Calibri"/>
      <w:lang w:eastAsia="en-GB"/>
    </w:rPr>
  </w:style>
  <w:style w:type="paragraph" w:styleId="Heading1">
    <w:name w:val="heading 1"/>
    <w:basedOn w:val="Normal"/>
    <w:link w:val="Heading1Char"/>
    <w:uiPriority w:val="9"/>
    <w:qFormat/>
    <w:rsid w:val="000C458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C458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0C458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8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C458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0C4587"/>
    <w:rPr>
      <w:rFonts w:ascii="Tahoma" w:hAnsi="Tahoma" w:cs="Tahoma"/>
      <w:b/>
      <w:bCs/>
      <w:color w:val="FFFFFF"/>
      <w:sz w:val="18"/>
      <w:szCs w:val="18"/>
      <w:lang w:eastAsia="en-GB"/>
    </w:rPr>
  </w:style>
  <w:style w:type="paragraph" w:styleId="NormalWeb">
    <w:name w:val="Normal (Web)"/>
    <w:basedOn w:val="Normal"/>
    <w:uiPriority w:val="99"/>
    <w:semiHidden/>
    <w:unhideWhenUsed/>
    <w:rsid w:val="000C4587"/>
    <w:pPr>
      <w:spacing w:before="100" w:beforeAutospacing="1" w:after="100" w:afterAutospacing="1"/>
    </w:pPr>
  </w:style>
  <w:style w:type="character" w:styleId="Strong">
    <w:name w:val="Strong"/>
    <w:basedOn w:val="DefaultParagraphFont"/>
    <w:uiPriority w:val="22"/>
    <w:qFormat/>
    <w:rsid w:val="000C4587"/>
    <w:rPr>
      <w:b/>
      <w:bCs/>
    </w:rPr>
  </w:style>
  <w:style w:type="character" w:styleId="Hyperlink">
    <w:name w:val="Hyperlink"/>
    <w:basedOn w:val="DefaultParagraphFont"/>
    <w:uiPriority w:val="99"/>
    <w:semiHidden/>
    <w:unhideWhenUsed/>
    <w:rsid w:val="000C45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e8423ee5a7&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53998f3ddc&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c8253cc4d4&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649dea77a3&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media/image1.jpeg"/><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35d6f78a59&amp;e=d19e9fd41c" TargetMode="External"/><Relationship Id="rId19" Type="http://schemas.openxmlformats.org/officeDocument/2006/relationships/hyperlink" Target="https://psnc.us7.list-manage.com/track/click?u=86d41ab7fa4c7c2c5d7210782&amp;id=768339ecbf&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ba039c7ded&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531233b272&amp;e=d19e9fd41c" TargetMode="External"/><Relationship Id="rId27" Type="http://schemas.openxmlformats.org/officeDocument/2006/relationships/image" Target="https://psnc.us7.list-manage.com/track/open.php?u=86d41ab7fa4c7c2c5d7210782&amp;id=34142f738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2022-10-27T07:07:00Z</dcterms:created>
  <dcterms:modified xsi:type="dcterms:W3CDTF">2022-10-27T07:18:00Z</dcterms:modified>
</cp:coreProperties>
</file>