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6100" w14:paraId="2BEAB5A8" w14:textId="77777777" w:rsidTr="0033610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36100" w14:paraId="0A97A2D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36100" w14:paraId="6AC2372A" w14:textId="77777777">
                    <w:trPr>
                      <w:tblCellSpacing w:w="0" w:type="dxa"/>
                      <w:jc w:val="center"/>
                    </w:trPr>
                    <w:tc>
                      <w:tcPr>
                        <w:tcW w:w="3000" w:type="dxa"/>
                        <w:hideMark/>
                      </w:tcPr>
                      <w:p w14:paraId="051AA896" w14:textId="1BDDFE1E" w:rsidR="00336100" w:rsidRDefault="0033610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7CB3AB2" w14:textId="77777777" w:rsidR="00336100" w:rsidRDefault="00336100">
                  <w:pPr>
                    <w:jc w:val="center"/>
                    <w:rPr>
                      <w:rFonts w:ascii="Times New Roman" w:eastAsia="Times New Roman" w:hAnsi="Times New Roman" w:cs="Times New Roman"/>
                      <w:sz w:val="20"/>
                      <w:szCs w:val="20"/>
                    </w:rPr>
                  </w:pPr>
                </w:p>
              </w:tc>
            </w:tr>
            <w:tr w:rsidR="00336100" w14:paraId="5BD61CE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36100" w14:paraId="7FBE3A2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1A69C12" w14:textId="13E09BC3" w:rsidR="00336100" w:rsidRDefault="00336100">
                        <w:pPr>
                          <w:jc w:val="center"/>
                          <w:rPr>
                            <w:rFonts w:eastAsia="Times New Roman"/>
                          </w:rPr>
                        </w:pPr>
                        <w:r>
                          <w:rPr>
                            <w:rFonts w:eastAsia="Times New Roman"/>
                            <w:noProof/>
                          </w:rPr>
                          <w:drawing>
                            <wp:inline distT="0" distB="0" distL="0" distR="0" wp14:anchorId="2C8B963C" wp14:editId="7C5CEC4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36100" w14:paraId="4410621A" w14:textId="77777777">
                    <w:trPr>
                      <w:tblCellSpacing w:w="0" w:type="dxa"/>
                    </w:trPr>
                    <w:tc>
                      <w:tcPr>
                        <w:tcW w:w="0" w:type="auto"/>
                        <w:vMerge/>
                        <w:tcBorders>
                          <w:top w:val="nil"/>
                          <w:left w:val="nil"/>
                          <w:bottom w:val="single" w:sz="2" w:space="0" w:color="FFFFFF"/>
                          <w:right w:val="nil"/>
                        </w:tcBorders>
                        <w:vAlign w:val="center"/>
                        <w:hideMark/>
                      </w:tcPr>
                      <w:p w14:paraId="3FCAAFCF" w14:textId="77777777" w:rsidR="00336100" w:rsidRDefault="00336100">
                        <w:pPr>
                          <w:rPr>
                            <w:rFonts w:eastAsia="Times New Roman"/>
                          </w:rPr>
                        </w:pPr>
                      </w:p>
                    </w:tc>
                    <w:tc>
                      <w:tcPr>
                        <w:tcW w:w="3450" w:type="dxa"/>
                        <w:tcBorders>
                          <w:top w:val="nil"/>
                          <w:left w:val="nil"/>
                          <w:bottom w:val="nil"/>
                          <w:right w:val="nil"/>
                        </w:tcBorders>
                        <w:vAlign w:val="center"/>
                        <w:hideMark/>
                      </w:tcPr>
                      <w:p w14:paraId="5DC75B8F" w14:textId="77777777" w:rsidR="00336100" w:rsidRDefault="00336100">
                        <w:pPr>
                          <w:pStyle w:val="Heading1"/>
                          <w:rPr>
                            <w:rFonts w:eastAsia="Times New Roman"/>
                          </w:rPr>
                        </w:pPr>
                        <w:r>
                          <w:rPr>
                            <w:rFonts w:eastAsia="Times New Roman"/>
                          </w:rPr>
                          <w:t>PSNC Newsletter</w:t>
                        </w:r>
                      </w:p>
                    </w:tc>
                  </w:tr>
                  <w:tr w:rsidR="00336100" w14:paraId="60CE0C29" w14:textId="77777777">
                    <w:trPr>
                      <w:tblCellSpacing w:w="0" w:type="dxa"/>
                    </w:trPr>
                    <w:tc>
                      <w:tcPr>
                        <w:tcW w:w="0" w:type="auto"/>
                        <w:vMerge/>
                        <w:tcBorders>
                          <w:top w:val="nil"/>
                          <w:left w:val="nil"/>
                          <w:bottom w:val="single" w:sz="2" w:space="0" w:color="FFFFFF"/>
                          <w:right w:val="nil"/>
                        </w:tcBorders>
                        <w:vAlign w:val="center"/>
                        <w:hideMark/>
                      </w:tcPr>
                      <w:p w14:paraId="43906187" w14:textId="77777777" w:rsidR="00336100" w:rsidRDefault="0033610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4FA48F8" w14:textId="77777777" w:rsidR="00336100" w:rsidRDefault="00336100">
                        <w:pPr>
                          <w:pStyle w:val="Heading2"/>
                          <w:rPr>
                            <w:rFonts w:eastAsia="Times New Roman"/>
                            <w:color w:val="93378A"/>
                          </w:rPr>
                        </w:pPr>
                        <w:r>
                          <w:rPr>
                            <w:rFonts w:eastAsia="Times New Roman"/>
                            <w:color w:val="93378A"/>
                          </w:rPr>
                          <w:t>Friday 11th November 2022</w:t>
                        </w:r>
                      </w:p>
                    </w:tc>
                  </w:tr>
                </w:tbl>
                <w:p w14:paraId="5BB57854" w14:textId="77777777" w:rsidR="00336100" w:rsidRDefault="00336100">
                  <w:pPr>
                    <w:rPr>
                      <w:rFonts w:ascii="Times New Roman" w:eastAsia="Times New Roman" w:hAnsi="Times New Roman" w:cs="Times New Roman"/>
                      <w:sz w:val="20"/>
                      <w:szCs w:val="20"/>
                    </w:rPr>
                  </w:pPr>
                </w:p>
              </w:tc>
            </w:tr>
            <w:tr w:rsidR="00336100" w14:paraId="7F4EA15C" w14:textId="77777777">
              <w:tblPrEx>
                <w:shd w:val="clear" w:color="auto" w:fill="auto"/>
              </w:tblPrEx>
              <w:trPr>
                <w:tblCellSpacing w:w="0" w:type="dxa"/>
                <w:jc w:val="center"/>
              </w:trPr>
              <w:tc>
                <w:tcPr>
                  <w:tcW w:w="9000" w:type="dxa"/>
                  <w:hideMark/>
                </w:tcPr>
                <w:p w14:paraId="401EF94C" w14:textId="2770898B" w:rsidR="00336100" w:rsidRDefault="00336100">
                  <w:pPr>
                    <w:rPr>
                      <w:rFonts w:eastAsia="Times New Roman"/>
                    </w:rPr>
                  </w:pPr>
                  <w:r>
                    <w:rPr>
                      <w:rFonts w:eastAsia="Times New Roman"/>
                      <w:noProof/>
                    </w:rPr>
                    <w:drawing>
                      <wp:inline distT="0" distB="0" distL="0" distR="0" wp14:anchorId="020F37AC" wp14:editId="5233C74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36100" w14:paraId="7870B60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36100" w14:paraId="7E8D473B" w14:textId="77777777">
                    <w:trPr>
                      <w:trHeight w:val="150"/>
                      <w:tblCellSpacing w:w="15" w:type="dxa"/>
                      <w:jc w:val="center"/>
                    </w:trPr>
                    <w:tc>
                      <w:tcPr>
                        <w:tcW w:w="150" w:type="dxa"/>
                        <w:vAlign w:val="center"/>
                        <w:hideMark/>
                      </w:tcPr>
                      <w:p w14:paraId="069154F0" w14:textId="77777777" w:rsidR="00336100" w:rsidRDefault="00336100" w:rsidP="00336100">
                        <w:pPr>
                          <w:spacing w:line="264" w:lineRule="auto"/>
                          <w:rPr>
                            <w:rFonts w:eastAsia="Times New Roman"/>
                          </w:rPr>
                        </w:pPr>
                      </w:p>
                    </w:tc>
                    <w:tc>
                      <w:tcPr>
                        <w:tcW w:w="8700" w:type="dxa"/>
                        <w:vAlign w:val="center"/>
                        <w:hideMark/>
                      </w:tcPr>
                      <w:p w14:paraId="10744140" w14:textId="77777777" w:rsidR="00336100" w:rsidRDefault="00336100" w:rsidP="00336100">
                        <w:pPr>
                          <w:spacing w:line="264" w:lineRule="auto"/>
                          <w:rPr>
                            <w:rFonts w:ascii="Times New Roman" w:eastAsia="Times New Roman" w:hAnsi="Times New Roman" w:cs="Times New Roman"/>
                            <w:sz w:val="20"/>
                            <w:szCs w:val="20"/>
                          </w:rPr>
                        </w:pPr>
                      </w:p>
                    </w:tc>
                    <w:tc>
                      <w:tcPr>
                        <w:tcW w:w="150" w:type="dxa"/>
                        <w:vAlign w:val="center"/>
                        <w:hideMark/>
                      </w:tcPr>
                      <w:p w14:paraId="56F7E15B" w14:textId="77777777" w:rsidR="00336100" w:rsidRDefault="00336100" w:rsidP="00336100">
                        <w:pPr>
                          <w:spacing w:line="264" w:lineRule="auto"/>
                          <w:rPr>
                            <w:rFonts w:ascii="Times New Roman" w:eastAsia="Times New Roman" w:hAnsi="Times New Roman" w:cs="Times New Roman"/>
                            <w:sz w:val="20"/>
                            <w:szCs w:val="20"/>
                          </w:rPr>
                        </w:pPr>
                      </w:p>
                    </w:tc>
                  </w:tr>
                  <w:tr w:rsidR="00336100" w14:paraId="15AF0042" w14:textId="77777777">
                    <w:trPr>
                      <w:tblCellSpacing w:w="15" w:type="dxa"/>
                      <w:jc w:val="center"/>
                    </w:trPr>
                    <w:tc>
                      <w:tcPr>
                        <w:tcW w:w="150" w:type="dxa"/>
                        <w:vAlign w:val="center"/>
                        <w:hideMark/>
                      </w:tcPr>
                      <w:p w14:paraId="0CF2A736" w14:textId="77777777" w:rsidR="00336100" w:rsidRDefault="00336100" w:rsidP="00336100">
                        <w:pPr>
                          <w:spacing w:line="264" w:lineRule="auto"/>
                          <w:rPr>
                            <w:rFonts w:ascii="Times New Roman" w:eastAsia="Times New Roman" w:hAnsi="Times New Roman" w:cs="Times New Roman"/>
                            <w:sz w:val="20"/>
                            <w:szCs w:val="20"/>
                          </w:rPr>
                        </w:pPr>
                      </w:p>
                    </w:tc>
                    <w:tc>
                      <w:tcPr>
                        <w:tcW w:w="8700" w:type="dxa"/>
                        <w:vAlign w:val="center"/>
                        <w:hideMark/>
                      </w:tcPr>
                      <w:p w14:paraId="540570FF" w14:textId="77777777" w:rsidR="00336100" w:rsidRDefault="00336100" w:rsidP="0033610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FCCD12F" w14:textId="77777777" w:rsidR="00336100" w:rsidRDefault="00336100" w:rsidP="0033610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CD76A9F">
                            <v:rect id="_x0000_i1032" style="width:468pt;height:1.5pt" o:hrstd="t" o:hr="t" fillcolor="#a0a0a0" stroked="f"/>
                          </w:pict>
                        </w:r>
                      </w:p>
                      <w:p w14:paraId="1F81DD28" w14:textId="77777777" w:rsidR="00336100" w:rsidRDefault="00336100" w:rsidP="00336100">
                        <w:pPr>
                          <w:pStyle w:val="Heading2"/>
                          <w:spacing w:after="0"/>
                          <w:rPr>
                            <w:rFonts w:eastAsia="Times New Roman"/>
                          </w:rPr>
                        </w:pPr>
                        <w:r>
                          <w:rPr>
                            <w:rFonts w:eastAsia="Times New Roman"/>
                          </w:rPr>
                          <w:t>In this update: Parliamentary drop-in event on Hypertension Service; PSNC comments on temporary closures data; TAPR Progress Report; Community Pharmacy Workforce Survey deadline.</w:t>
                        </w:r>
                      </w:p>
                      <w:p w14:paraId="540DFC5B" w14:textId="77777777" w:rsidR="00336100" w:rsidRDefault="00336100" w:rsidP="0033610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2224E4">
                            <v:rect id="_x0000_i1033" style="width:468pt;height:1.5pt" o:hrstd="t" o:hr="t" fillcolor="#a0a0a0" stroked="f"/>
                          </w:pict>
                        </w:r>
                      </w:p>
                      <w:p w14:paraId="37970B12" w14:textId="77777777" w:rsidR="00336100" w:rsidRDefault="00336100" w:rsidP="00336100">
                        <w:pPr>
                          <w:pStyle w:val="Heading2"/>
                          <w:spacing w:after="0"/>
                          <w:rPr>
                            <w:rFonts w:eastAsia="Times New Roman"/>
                          </w:rPr>
                        </w:pPr>
                        <w:r>
                          <w:rPr>
                            <w:rFonts w:eastAsia="Times New Roman"/>
                          </w:rPr>
                          <w:t>PSNC to host Parliamentary drop-in event on Hypertension Service</w:t>
                        </w:r>
                      </w:p>
                      <w:p w14:paraId="38908D7A" w14:textId="77777777" w:rsidR="00336100" w:rsidRDefault="00336100" w:rsidP="0033610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On Tuesday 15th November, PSNC will be hosting a Parliamentary drop-in event for MPs. The event will last for roughly two hours, during which MPs will have the opportunity to drop-in and have their blood pressure measured by a fully qualified pharmacist.</w:t>
                        </w:r>
                        <w:r>
                          <w:rPr>
                            <w:rFonts w:ascii="Tahoma" w:hAnsi="Tahoma" w:cs="Tahoma"/>
                            <w:color w:val="303030"/>
                            <w:sz w:val="21"/>
                            <w:szCs w:val="21"/>
                          </w:rPr>
                          <w:br/>
                        </w:r>
                        <w:r>
                          <w:rPr>
                            <w:rFonts w:ascii="Tahoma" w:hAnsi="Tahoma" w:cs="Tahoma"/>
                            <w:color w:val="303030"/>
                            <w:sz w:val="21"/>
                            <w:szCs w:val="21"/>
                          </w:rPr>
                          <w:br/>
                          <w:t>This event will be a great opportunity to talk to MPs from across the political spectrum about the incredible work pharmacies are doing up and down the country, to demonstrate the Hypertension Case-Finding Service and to discuss the frontline role pharmacists play in delivering vital services and free, expert advice.</w:t>
                        </w:r>
                        <w:r>
                          <w:rPr>
                            <w:rFonts w:ascii="Tahoma" w:hAnsi="Tahoma" w:cs="Tahoma"/>
                            <w:color w:val="303030"/>
                            <w:sz w:val="21"/>
                            <w:szCs w:val="21"/>
                          </w:rPr>
                          <w:br/>
                        </w:r>
                        <w:r>
                          <w:rPr>
                            <w:rFonts w:ascii="Tahoma" w:hAnsi="Tahoma" w:cs="Tahoma"/>
                            <w:color w:val="303030"/>
                            <w:sz w:val="21"/>
                            <w:szCs w:val="21"/>
                          </w:rPr>
                          <w:br/>
                          <w:t xml:space="preserve">There's still time to invite your MP to attend this event. To do so, please complete the following </w:t>
                        </w:r>
                        <w:hyperlink r:id="rId8" w:history="1">
                          <w:r>
                            <w:rPr>
                              <w:rStyle w:val="Hyperlink"/>
                              <w:rFonts w:ascii="Tahoma" w:hAnsi="Tahoma" w:cs="Tahoma"/>
                              <w:b/>
                              <w:bCs/>
                              <w:color w:val="4E3487"/>
                              <w:sz w:val="21"/>
                              <w:szCs w:val="21"/>
                            </w:rPr>
                            <w:t>template</w:t>
                          </w:r>
                        </w:hyperlink>
                        <w:r>
                          <w:rPr>
                            <w:rFonts w:ascii="Tahoma" w:hAnsi="Tahoma" w:cs="Tahoma"/>
                            <w:color w:val="303030"/>
                            <w:sz w:val="21"/>
                            <w:szCs w:val="21"/>
                          </w:rPr>
                          <w:t xml:space="preserve"> and email it to your MP. You can find your local MP's contact address using the </w:t>
                        </w:r>
                        <w:hyperlink r:id="rId9" w:tgtFrame="_blank" w:history="1">
                          <w:r>
                            <w:rPr>
                              <w:rStyle w:val="Hyperlink"/>
                              <w:rFonts w:ascii="Tahoma" w:hAnsi="Tahoma" w:cs="Tahoma"/>
                              <w:b/>
                              <w:bCs/>
                              <w:color w:val="4E3487"/>
                              <w:sz w:val="21"/>
                              <w:szCs w:val="21"/>
                            </w:rPr>
                            <w:t>Find Your MP</w:t>
                          </w:r>
                        </w:hyperlink>
                        <w:r>
                          <w:rPr>
                            <w:rFonts w:ascii="Tahoma" w:hAnsi="Tahoma" w:cs="Tahoma"/>
                            <w:color w:val="303030"/>
                            <w:sz w:val="21"/>
                            <w:szCs w:val="21"/>
                          </w:rPr>
                          <w:t xml:space="preserve"> function.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 about the event</w:t>
                          </w:r>
                        </w:hyperlink>
                      </w:p>
                      <w:p w14:paraId="1C90564B" w14:textId="77777777" w:rsidR="00336100" w:rsidRDefault="00336100" w:rsidP="0033610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BEE021E">
                            <v:rect id="_x0000_i1034" style="width:468pt;height:1.5pt" o:hrstd="t" o:hr="t" fillcolor="#a0a0a0" stroked="f"/>
                          </w:pict>
                        </w:r>
                      </w:p>
                      <w:p w14:paraId="684B2DF8" w14:textId="77777777" w:rsidR="00336100" w:rsidRDefault="00336100" w:rsidP="00336100">
                        <w:pPr>
                          <w:pStyle w:val="Heading2"/>
                          <w:spacing w:after="0"/>
                          <w:rPr>
                            <w:rFonts w:eastAsia="Times New Roman"/>
                          </w:rPr>
                        </w:pPr>
                        <w:r>
                          <w:rPr>
                            <w:rFonts w:eastAsia="Times New Roman"/>
                          </w:rPr>
                          <w:t>Temporary closures data</w:t>
                        </w:r>
                      </w:p>
                      <w:p w14:paraId="272F822D" w14:textId="77777777" w:rsidR="00336100" w:rsidRDefault="00336100" w:rsidP="0033610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New data has revealed that there have been more than 20,000 instances of pharmacies closing temporarily in the past year. </w:t>
                        </w:r>
                        <w:hyperlink r:id="rId11" w:tgtFrame="_blank" w:history="1">
                          <w:proofErr w:type="spellStart"/>
                          <w:r>
                            <w:rPr>
                              <w:rStyle w:val="Hyperlink"/>
                              <w:rFonts w:ascii="Tahoma" w:hAnsi="Tahoma" w:cs="Tahoma"/>
                              <w:b/>
                              <w:bCs/>
                              <w:color w:val="4E3487"/>
                              <w:sz w:val="21"/>
                              <w:szCs w:val="21"/>
                            </w:rPr>
                            <w:t>Chemist+Druggist</w:t>
                          </w:r>
                          <w:proofErr w:type="spellEnd"/>
                        </w:hyperlink>
                        <w:r>
                          <w:rPr>
                            <w:rFonts w:ascii="Tahoma" w:hAnsi="Tahoma" w:cs="Tahoma"/>
                            <w:color w:val="303030"/>
                            <w:sz w:val="21"/>
                            <w:szCs w:val="21"/>
                          </w:rPr>
                          <w:t xml:space="preserve"> has published statistics which reveal that staffing issues, such as problems finding locum cover and staff sickness, are the primary reasons for these closures.</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PSNC Chief Executive Janet Morrison</w:t>
                        </w:r>
                        <w:r>
                          <w:rPr>
                            <w:rFonts w:ascii="Tahoma" w:hAnsi="Tahoma" w:cs="Tahoma"/>
                            <w:color w:val="303030"/>
                            <w:sz w:val="21"/>
                            <w:szCs w:val="21"/>
                          </w:rPr>
                          <w:t xml:space="preserve"> commented:</w:t>
                        </w:r>
                        <w:r>
                          <w:rPr>
                            <w:rFonts w:ascii="Tahoma" w:hAnsi="Tahoma" w:cs="Tahoma"/>
                            <w:color w:val="303030"/>
                            <w:sz w:val="21"/>
                            <w:szCs w:val="21"/>
                          </w:rPr>
                          <w:br/>
                        </w:r>
                        <w:r>
                          <w:rPr>
                            <w:rFonts w:ascii="Tahoma" w:hAnsi="Tahoma" w:cs="Tahoma"/>
                            <w:color w:val="303030"/>
                            <w:sz w:val="21"/>
                            <w:szCs w:val="21"/>
                          </w:rPr>
                          <w:br/>
                          <w:t xml:space="preserve">"Any closure of a community pharmacy, however temporary, is cause for concern and will have a detrimental impact on local patients needing help or urgent medicines. Closures are an absolute last resort for contractors, and the huge numbers of them now happening are testament to the crippling effect that the current workforce shortages and other pressures </w:t>
                        </w:r>
                        <w:r>
                          <w:rPr>
                            <w:rFonts w:ascii="Tahoma" w:hAnsi="Tahoma" w:cs="Tahoma"/>
                            <w:color w:val="303030"/>
                            <w:sz w:val="21"/>
                            <w:szCs w:val="21"/>
                          </w:rPr>
                          <w:lastRenderedPageBreak/>
                          <w:t>on community pharmacy are having.</w:t>
                        </w:r>
                        <w:r>
                          <w:rPr>
                            <w:rFonts w:ascii="Tahoma" w:hAnsi="Tahoma" w:cs="Tahoma"/>
                            <w:color w:val="303030"/>
                            <w:sz w:val="21"/>
                            <w:szCs w:val="21"/>
                          </w:rPr>
                          <w:br/>
                        </w:r>
                        <w:r>
                          <w:rPr>
                            <w:rFonts w:ascii="Tahoma" w:hAnsi="Tahoma" w:cs="Tahoma"/>
                            <w:color w:val="303030"/>
                            <w:sz w:val="21"/>
                            <w:szCs w:val="21"/>
                          </w:rPr>
                          <w:br/>
                          <w:t xml:space="preserve">The findings match those of our </w:t>
                        </w:r>
                        <w:hyperlink r:id="rId12" w:tgtFrame="_blank" w:history="1">
                          <w:r>
                            <w:rPr>
                              <w:rStyle w:val="Hyperlink"/>
                              <w:rFonts w:ascii="Tahoma" w:hAnsi="Tahoma" w:cs="Tahoma"/>
                              <w:b/>
                              <w:bCs/>
                              <w:color w:val="4E3487"/>
                              <w:sz w:val="21"/>
                              <w:szCs w:val="21"/>
                            </w:rPr>
                            <w:t>Pressures Survey</w:t>
                          </w:r>
                        </w:hyperlink>
                        <w:r>
                          <w:rPr>
                            <w:rFonts w:ascii="Tahoma" w:hAnsi="Tahoma" w:cs="Tahoma"/>
                            <w:color w:val="303030"/>
                            <w:sz w:val="21"/>
                            <w:szCs w:val="21"/>
                          </w:rPr>
                          <w:t xml:space="preserve"> earlier this year in which 91% of contractors reported staff shortages, with 23% saying they had been forced to close temporarily because of these. We know that locum costs are also growing rapidly, and that some pharmacies have had to permanently reduce their opening hours to cope with the current situation. This paints a bleak picture for the future both for pharmacies and for the patients and communities they serve. We have raised all of these issues with Ministers and will continue to do so – these findings make clear just how much the sector now needs Government and the NHS to work with us on a long-term workforce plan as well as on ensuring sustainable funding."</w:t>
                        </w:r>
                      </w:p>
                      <w:p w14:paraId="64A1AE38" w14:textId="77777777" w:rsidR="00336100" w:rsidRDefault="00336100" w:rsidP="0033610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4D3F0B8">
                            <v:rect id="_x0000_i1035" style="width:468pt;height:1.5pt" o:hrstd="t" o:hr="t" fillcolor="#a0a0a0" stroked="f"/>
                          </w:pict>
                        </w:r>
                      </w:p>
                      <w:p w14:paraId="29A58B30" w14:textId="77777777" w:rsidR="00336100" w:rsidRDefault="00336100" w:rsidP="00336100">
                        <w:pPr>
                          <w:pStyle w:val="Heading2"/>
                          <w:spacing w:after="0"/>
                          <w:rPr>
                            <w:rFonts w:eastAsia="Times New Roman"/>
                          </w:rPr>
                        </w:pPr>
                        <w:r>
                          <w:rPr>
                            <w:rFonts w:eastAsia="Times New Roman"/>
                          </w:rPr>
                          <w:t>PSNC publishes TAPR Progress Report</w:t>
                        </w:r>
                      </w:p>
                      <w:p w14:paraId="4ED9790B" w14:textId="77777777" w:rsidR="00336100" w:rsidRDefault="00336100" w:rsidP="0033610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continuing to make progress on addressing the Review Steering Group (RSG) proposals and has today published a series of resources to update contractors and LPCs on this work.</w:t>
                        </w:r>
                        <w:r>
                          <w:rPr>
                            <w:rFonts w:ascii="Tahoma" w:hAnsi="Tahoma" w:cs="Tahoma"/>
                            <w:color w:val="303030"/>
                            <w:sz w:val="21"/>
                            <w:szCs w:val="21"/>
                          </w:rPr>
                          <w:br/>
                        </w:r>
                        <w:r>
                          <w:rPr>
                            <w:rFonts w:ascii="Tahoma" w:hAnsi="Tahoma" w:cs="Tahoma"/>
                            <w:color w:val="303030"/>
                            <w:sz w:val="21"/>
                            <w:szCs w:val="21"/>
                          </w:rPr>
                          <w:br/>
                          <w:t>The resources published include an update on the Transforming Pharmacy Representation (TAPR) workstreams, a programme timeline and infographic, and a briefing document setting out how PSNC plans to use the additional levies that will start to be directed to it from April 2023 onwards.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See all the TAPR update documents</w:t>
                          </w:r>
                        </w:hyperlink>
                      </w:p>
                      <w:p w14:paraId="08057537" w14:textId="77777777" w:rsidR="00336100" w:rsidRDefault="00336100" w:rsidP="0033610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1C6A90C">
                            <v:rect id="_x0000_i1036" style="width:468pt;height:1.5pt" o:hrstd="t" o:hr="t" fillcolor="#a0a0a0" stroked="f"/>
                          </w:pict>
                        </w:r>
                      </w:p>
                      <w:p w14:paraId="546E66C4" w14:textId="77777777" w:rsidR="00336100" w:rsidRDefault="00336100" w:rsidP="00336100">
                        <w:pPr>
                          <w:pStyle w:val="Heading2"/>
                          <w:spacing w:after="0"/>
                          <w:rPr>
                            <w:rFonts w:eastAsia="Times New Roman"/>
                          </w:rPr>
                        </w:pPr>
                        <w:r>
                          <w:rPr>
                            <w:rFonts w:eastAsia="Times New Roman"/>
                          </w:rPr>
                          <w:t>Have you completed the mandatory workforce survey yet?</w:t>
                        </w:r>
                      </w:p>
                      <w:p w14:paraId="2A69585A" w14:textId="77777777" w:rsidR="00336100" w:rsidRDefault="00336100" w:rsidP="0033610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are reminded of the mandatory requirement to complete the 2022 Community Pharmacy Workforce Survey, managed by Health Education England (HEE),</w:t>
                        </w:r>
                        <w:r>
                          <w:rPr>
                            <w:rStyle w:val="Strong"/>
                            <w:rFonts w:ascii="Tahoma" w:hAnsi="Tahoma" w:cs="Tahoma"/>
                            <w:color w:val="303030"/>
                            <w:sz w:val="21"/>
                            <w:szCs w:val="21"/>
                          </w:rPr>
                          <w:t xml:space="preserve"> by 30th November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The NHS Business Services Authority sent an email to contractors on 6th October 2022 containing a link to the survey. In some cases, </w:t>
                        </w:r>
                        <w:proofErr w:type="gramStart"/>
                        <w:r>
                          <w:rPr>
                            <w:rFonts w:ascii="Tahoma" w:hAnsi="Tahoma" w:cs="Tahoma"/>
                            <w:color w:val="303030"/>
                            <w:sz w:val="21"/>
                            <w:szCs w:val="21"/>
                          </w:rPr>
                          <w:t>e.g.</w:t>
                        </w:r>
                        <w:proofErr w:type="gramEnd"/>
                        <w:r>
                          <w:rPr>
                            <w:rFonts w:ascii="Tahoma" w:hAnsi="Tahoma" w:cs="Tahoma"/>
                            <w:color w:val="303030"/>
                            <w:sz w:val="21"/>
                            <w:szCs w:val="21"/>
                          </w:rPr>
                          <w:t xml:space="preserve"> Company Chemists' Association member companies and other larger multiple pharmacy groups, head offices will complete the survey centrally. If you are not sure whether the survey will be completed centrally, please ask your head office for guidance.</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more about the survey</w:t>
                          </w:r>
                        </w:hyperlink>
                      </w:p>
                    </w:tc>
                    <w:tc>
                      <w:tcPr>
                        <w:tcW w:w="150" w:type="dxa"/>
                        <w:vAlign w:val="center"/>
                        <w:hideMark/>
                      </w:tcPr>
                      <w:p w14:paraId="266F44CC" w14:textId="77777777" w:rsidR="00336100" w:rsidRDefault="00336100" w:rsidP="00336100">
                        <w:pPr>
                          <w:spacing w:line="264" w:lineRule="auto"/>
                          <w:rPr>
                            <w:rFonts w:ascii="Tahoma" w:hAnsi="Tahoma" w:cs="Tahoma"/>
                            <w:color w:val="303030"/>
                            <w:sz w:val="21"/>
                            <w:szCs w:val="21"/>
                          </w:rPr>
                        </w:pPr>
                      </w:p>
                    </w:tc>
                  </w:tr>
                  <w:tr w:rsidR="00336100" w14:paraId="164A0BBE" w14:textId="77777777">
                    <w:trPr>
                      <w:trHeight w:val="150"/>
                      <w:tblCellSpacing w:w="15" w:type="dxa"/>
                      <w:jc w:val="center"/>
                    </w:trPr>
                    <w:tc>
                      <w:tcPr>
                        <w:tcW w:w="150" w:type="dxa"/>
                        <w:vAlign w:val="center"/>
                        <w:hideMark/>
                      </w:tcPr>
                      <w:p w14:paraId="75A995A7" w14:textId="77777777" w:rsidR="00336100" w:rsidRDefault="00336100" w:rsidP="00336100">
                        <w:pPr>
                          <w:spacing w:line="264" w:lineRule="auto"/>
                          <w:rPr>
                            <w:rFonts w:ascii="Times New Roman" w:eastAsia="Times New Roman" w:hAnsi="Times New Roman" w:cs="Times New Roman"/>
                            <w:sz w:val="20"/>
                            <w:szCs w:val="20"/>
                          </w:rPr>
                        </w:pPr>
                      </w:p>
                    </w:tc>
                    <w:tc>
                      <w:tcPr>
                        <w:tcW w:w="8700" w:type="dxa"/>
                        <w:vAlign w:val="center"/>
                        <w:hideMark/>
                      </w:tcPr>
                      <w:p w14:paraId="05DF11EC" w14:textId="77777777" w:rsidR="00336100" w:rsidRDefault="00336100" w:rsidP="00336100">
                        <w:pPr>
                          <w:spacing w:line="264" w:lineRule="auto"/>
                          <w:rPr>
                            <w:rFonts w:ascii="Times New Roman" w:eastAsia="Times New Roman" w:hAnsi="Times New Roman" w:cs="Times New Roman"/>
                            <w:sz w:val="20"/>
                            <w:szCs w:val="20"/>
                          </w:rPr>
                        </w:pPr>
                      </w:p>
                    </w:tc>
                    <w:tc>
                      <w:tcPr>
                        <w:tcW w:w="150" w:type="dxa"/>
                        <w:vAlign w:val="center"/>
                        <w:hideMark/>
                      </w:tcPr>
                      <w:p w14:paraId="59BF2DBA" w14:textId="77777777" w:rsidR="00336100" w:rsidRDefault="00336100" w:rsidP="00336100">
                        <w:pPr>
                          <w:spacing w:line="264" w:lineRule="auto"/>
                          <w:rPr>
                            <w:rFonts w:ascii="Times New Roman" w:eastAsia="Times New Roman" w:hAnsi="Times New Roman" w:cs="Times New Roman"/>
                            <w:sz w:val="20"/>
                            <w:szCs w:val="20"/>
                          </w:rPr>
                        </w:pPr>
                      </w:p>
                    </w:tc>
                  </w:tr>
                </w:tbl>
                <w:p w14:paraId="31B14354" w14:textId="77777777" w:rsidR="00336100" w:rsidRDefault="00336100" w:rsidP="00336100">
                  <w:pPr>
                    <w:spacing w:line="264" w:lineRule="auto"/>
                    <w:rPr>
                      <w:rFonts w:ascii="Times New Roman" w:eastAsia="Times New Roman" w:hAnsi="Times New Roman" w:cs="Times New Roman"/>
                      <w:sz w:val="20"/>
                      <w:szCs w:val="20"/>
                    </w:rPr>
                  </w:pPr>
                </w:p>
              </w:tc>
            </w:tr>
          </w:tbl>
          <w:p w14:paraId="1704BD9C" w14:textId="77777777" w:rsidR="00336100" w:rsidRDefault="00336100">
            <w:pPr>
              <w:jc w:val="center"/>
              <w:rPr>
                <w:rFonts w:ascii="Times New Roman" w:eastAsia="Times New Roman" w:hAnsi="Times New Roman" w:cs="Times New Roman"/>
                <w:sz w:val="20"/>
                <w:szCs w:val="20"/>
              </w:rPr>
            </w:pPr>
          </w:p>
        </w:tc>
      </w:tr>
      <w:tr w:rsidR="00336100" w14:paraId="225D6FCB" w14:textId="77777777" w:rsidTr="0033610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36100" w14:paraId="777C55B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36100" w14:paraId="1DFEE3D3" w14:textId="77777777">
                    <w:trPr>
                      <w:tblCellSpacing w:w="0" w:type="dxa"/>
                      <w:jc w:val="center"/>
                    </w:trPr>
                    <w:tc>
                      <w:tcPr>
                        <w:tcW w:w="3000" w:type="dxa"/>
                        <w:tcMar>
                          <w:top w:w="30" w:type="dxa"/>
                          <w:left w:w="75" w:type="dxa"/>
                          <w:bottom w:w="30" w:type="dxa"/>
                          <w:right w:w="75" w:type="dxa"/>
                        </w:tcMar>
                        <w:hideMark/>
                      </w:tcPr>
                      <w:p w14:paraId="6647B968" w14:textId="77777777" w:rsidR="00336100" w:rsidRDefault="00336100">
                        <w:pPr>
                          <w:pStyle w:val="Heading4"/>
                          <w:jc w:val="center"/>
                          <w:rPr>
                            <w:rFonts w:eastAsia="Times New Roman"/>
                          </w:rPr>
                        </w:pPr>
                        <w:r>
                          <w:rPr>
                            <w:rFonts w:eastAsia="Times New Roman"/>
                          </w:rPr>
                          <w:lastRenderedPageBreak/>
                          <w:t>Pharmaceutical Services Negotiating Committee</w:t>
                        </w:r>
                      </w:p>
                      <w:p w14:paraId="68A0C0A4" w14:textId="18150BB9" w:rsidR="00336100" w:rsidRDefault="0033610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D5001E9" wp14:editId="761B8047">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66053C" wp14:editId="5E630FE5">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E3B479" wp14:editId="1ABDB06F">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8F7287" wp14:editId="69AE9C46">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A0B4910" w14:textId="77777777" w:rsidR="00336100" w:rsidRDefault="0033610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36100" w14:paraId="28143162" w14:textId="77777777" w:rsidTr="00336100">
                    <w:trPr>
                      <w:trHeight w:val="70"/>
                      <w:tblCellSpacing w:w="0" w:type="dxa"/>
                      <w:jc w:val="center"/>
                    </w:trPr>
                    <w:tc>
                      <w:tcPr>
                        <w:tcW w:w="9000" w:type="dxa"/>
                        <w:tcMar>
                          <w:top w:w="150" w:type="dxa"/>
                          <w:left w:w="0" w:type="dxa"/>
                          <w:bottom w:w="0" w:type="dxa"/>
                          <w:right w:w="0" w:type="dxa"/>
                        </w:tcMar>
                        <w:vAlign w:val="center"/>
                        <w:hideMark/>
                      </w:tcPr>
                      <w:p w14:paraId="5676D69D" w14:textId="17A49C1D" w:rsidR="00336100" w:rsidRDefault="00336100" w:rsidP="00336100">
                        <w:pPr>
                          <w:rPr>
                            <w:rFonts w:ascii="Arial" w:eastAsia="Times New Roman" w:hAnsi="Arial" w:cs="Arial"/>
                            <w:color w:val="FFFFFF"/>
                            <w:sz w:val="17"/>
                            <w:szCs w:val="17"/>
                          </w:rPr>
                        </w:pPr>
                      </w:p>
                    </w:tc>
                  </w:tr>
                </w:tbl>
                <w:p w14:paraId="29B7491B" w14:textId="77777777" w:rsidR="00336100" w:rsidRDefault="00336100">
                  <w:pPr>
                    <w:jc w:val="center"/>
                    <w:rPr>
                      <w:rFonts w:ascii="Times New Roman" w:eastAsia="Times New Roman" w:hAnsi="Times New Roman" w:cs="Times New Roman"/>
                      <w:sz w:val="20"/>
                      <w:szCs w:val="20"/>
                    </w:rPr>
                  </w:pPr>
                </w:p>
              </w:tc>
            </w:tr>
          </w:tbl>
          <w:p w14:paraId="77F2380E" w14:textId="77777777" w:rsidR="00336100" w:rsidRDefault="00336100">
            <w:pPr>
              <w:jc w:val="center"/>
              <w:rPr>
                <w:rFonts w:ascii="Times New Roman" w:eastAsia="Times New Roman" w:hAnsi="Times New Roman" w:cs="Times New Roman"/>
                <w:sz w:val="20"/>
                <w:szCs w:val="20"/>
              </w:rPr>
            </w:pPr>
          </w:p>
        </w:tc>
      </w:tr>
    </w:tbl>
    <w:p w14:paraId="75967837" w14:textId="77D118B1" w:rsidR="00336100" w:rsidRDefault="00336100" w:rsidP="00336100">
      <w:pPr>
        <w:rPr>
          <w:rFonts w:eastAsia="Times New Roman"/>
        </w:rPr>
      </w:pPr>
      <w:r>
        <w:rPr>
          <w:rFonts w:eastAsia="Times New Roman"/>
          <w:noProof/>
        </w:rPr>
        <w:drawing>
          <wp:inline distT="0" distB="0" distL="0" distR="0" wp14:anchorId="65298686" wp14:editId="528C9F8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0FC6D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00"/>
    <w:rsid w:val="0033610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3CBC"/>
  <w15:chartTrackingRefBased/>
  <w15:docId w15:val="{E43FBA55-765B-4242-9F59-2D708A04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00"/>
    <w:rPr>
      <w:rFonts w:ascii="Calibri" w:hAnsi="Calibri" w:cs="Calibri"/>
      <w:lang w:eastAsia="en-GB"/>
    </w:rPr>
  </w:style>
  <w:style w:type="paragraph" w:styleId="Heading1">
    <w:name w:val="heading 1"/>
    <w:basedOn w:val="Normal"/>
    <w:link w:val="Heading1Char"/>
    <w:uiPriority w:val="9"/>
    <w:qFormat/>
    <w:rsid w:val="0033610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3610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3610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0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3610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36100"/>
    <w:rPr>
      <w:rFonts w:ascii="Tahoma" w:hAnsi="Tahoma" w:cs="Tahoma"/>
      <w:b/>
      <w:bCs/>
      <w:color w:val="FFFFFF"/>
      <w:sz w:val="18"/>
      <w:szCs w:val="18"/>
      <w:lang w:eastAsia="en-GB"/>
    </w:rPr>
  </w:style>
  <w:style w:type="paragraph" w:styleId="NormalWeb">
    <w:name w:val="Normal (Web)"/>
    <w:basedOn w:val="Normal"/>
    <w:uiPriority w:val="99"/>
    <w:semiHidden/>
    <w:unhideWhenUsed/>
    <w:rsid w:val="00336100"/>
    <w:pPr>
      <w:spacing w:before="100" w:beforeAutospacing="1" w:after="100" w:afterAutospacing="1"/>
    </w:pPr>
  </w:style>
  <w:style w:type="character" w:styleId="Strong">
    <w:name w:val="Strong"/>
    <w:basedOn w:val="DefaultParagraphFont"/>
    <w:uiPriority w:val="22"/>
    <w:qFormat/>
    <w:rsid w:val="00336100"/>
    <w:rPr>
      <w:b/>
      <w:bCs/>
    </w:rPr>
  </w:style>
  <w:style w:type="character" w:styleId="Hyperlink">
    <w:name w:val="Hyperlink"/>
    <w:basedOn w:val="DefaultParagraphFont"/>
    <w:uiPriority w:val="99"/>
    <w:semiHidden/>
    <w:unhideWhenUsed/>
    <w:rsid w:val="00336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48244e829&amp;e=d19e9fd41c" TargetMode="External"/><Relationship Id="rId13" Type="http://schemas.openxmlformats.org/officeDocument/2006/relationships/hyperlink" Target="https://psnc.us7.list-manage.com/track/click?u=86d41ab7fa4c7c2c5d7210782&amp;id=afe55ddc41&amp;e=d19e9fd41c" TargetMode="External"/><Relationship Id="rId18" Type="http://schemas.openxmlformats.org/officeDocument/2006/relationships/hyperlink" Target="https://psnc.us7.list-manage.com/track/click?u=86d41ab7fa4c7c2c5d7210782&amp;id=587102db70&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300d5b44fb&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4840e87a0&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ce2641a175&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60677f1e5&amp;e=d19e9fd41c" TargetMode="External"/><Relationship Id="rId24" Type="http://schemas.openxmlformats.org/officeDocument/2006/relationships/hyperlink" Target="https://psnc.us7.list-manage.com/track/click?u=86d41ab7fa4c7c2c5d7210782&amp;id=c93e83bef1&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b994b7f8e&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f166e985ab&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6d32ff49ba&amp;e=d19e9fd41c" TargetMode="External"/><Relationship Id="rId14" Type="http://schemas.openxmlformats.org/officeDocument/2006/relationships/hyperlink" Target="https://psnc.us7.list-manage.com/track/click?u=86d41ab7fa4c7c2c5d7210782&amp;id=df99a5d01e&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2022-11-14T08:41:00Z</dcterms:created>
  <dcterms:modified xsi:type="dcterms:W3CDTF">2022-11-14T08:43:00Z</dcterms:modified>
</cp:coreProperties>
</file>