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C62B2" w14:paraId="0651CFAB" w14:textId="77777777" w:rsidTr="002C62B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C62B2" w14:paraId="183360F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C62B2" w14:paraId="3FFC1E6F" w14:textId="77777777">
                    <w:trPr>
                      <w:tblCellSpacing w:w="0" w:type="dxa"/>
                      <w:jc w:val="center"/>
                    </w:trPr>
                    <w:tc>
                      <w:tcPr>
                        <w:tcW w:w="3000" w:type="dxa"/>
                        <w:hideMark/>
                      </w:tcPr>
                      <w:p w14:paraId="4B8171EB" w14:textId="06C42E7F" w:rsidR="002C62B2" w:rsidRDefault="002C62B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6286EE7" w14:textId="77777777" w:rsidR="002C62B2" w:rsidRDefault="002C62B2">
                  <w:pPr>
                    <w:jc w:val="center"/>
                    <w:rPr>
                      <w:rFonts w:ascii="Times New Roman" w:eastAsia="Times New Roman" w:hAnsi="Times New Roman" w:cs="Times New Roman"/>
                      <w:sz w:val="20"/>
                      <w:szCs w:val="20"/>
                    </w:rPr>
                  </w:pPr>
                </w:p>
              </w:tc>
            </w:tr>
            <w:tr w:rsidR="002C62B2" w14:paraId="767D280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C62B2" w14:paraId="57DA5DB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2F338E4" w14:textId="69939DE1" w:rsidR="002C62B2" w:rsidRDefault="002C62B2">
                        <w:pPr>
                          <w:jc w:val="center"/>
                          <w:rPr>
                            <w:rFonts w:eastAsia="Times New Roman"/>
                          </w:rPr>
                        </w:pPr>
                        <w:r>
                          <w:rPr>
                            <w:rFonts w:eastAsia="Times New Roman"/>
                            <w:noProof/>
                          </w:rPr>
                          <w:drawing>
                            <wp:inline distT="0" distB="0" distL="0" distR="0" wp14:anchorId="381C3A19" wp14:editId="778CA49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C62B2" w14:paraId="38F405DB" w14:textId="77777777">
                    <w:trPr>
                      <w:tblCellSpacing w:w="0" w:type="dxa"/>
                    </w:trPr>
                    <w:tc>
                      <w:tcPr>
                        <w:tcW w:w="0" w:type="auto"/>
                        <w:vMerge/>
                        <w:tcBorders>
                          <w:top w:val="nil"/>
                          <w:left w:val="nil"/>
                          <w:bottom w:val="single" w:sz="2" w:space="0" w:color="FFFFFF"/>
                          <w:right w:val="nil"/>
                        </w:tcBorders>
                        <w:vAlign w:val="center"/>
                        <w:hideMark/>
                      </w:tcPr>
                      <w:p w14:paraId="6F4A1BFB" w14:textId="77777777" w:rsidR="002C62B2" w:rsidRDefault="002C62B2">
                        <w:pPr>
                          <w:rPr>
                            <w:rFonts w:eastAsia="Times New Roman"/>
                          </w:rPr>
                        </w:pPr>
                      </w:p>
                    </w:tc>
                    <w:tc>
                      <w:tcPr>
                        <w:tcW w:w="3450" w:type="dxa"/>
                        <w:tcBorders>
                          <w:top w:val="nil"/>
                          <w:left w:val="nil"/>
                          <w:bottom w:val="nil"/>
                          <w:right w:val="nil"/>
                        </w:tcBorders>
                        <w:vAlign w:val="center"/>
                        <w:hideMark/>
                      </w:tcPr>
                      <w:p w14:paraId="0920589C" w14:textId="77777777" w:rsidR="002C62B2" w:rsidRDefault="002C62B2">
                        <w:pPr>
                          <w:pStyle w:val="Heading1"/>
                          <w:rPr>
                            <w:rFonts w:eastAsia="Times New Roman"/>
                          </w:rPr>
                        </w:pPr>
                        <w:r>
                          <w:rPr>
                            <w:rFonts w:eastAsia="Times New Roman"/>
                          </w:rPr>
                          <w:t>PSNC Newsletter</w:t>
                        </w:r>
                      </w:p>
                    </w:tc>
                  </w:tr>
                  <w:tr w:rsidR="002C62B2" w14:paraId="52B6D74F" w14:textId="77777777">
                    <w:trPr>
                      <w:tblCellSpacing w:w="0" w:type="dxa"/>
                    </w:trPr>
                    <w:tc>
                      <w:tcPr>
                        <w:tcW w:w="0" w:type="auto"/>
                        <w:vMerge/>
                        <w:tcBorders>
                          <w:top w:val="nil"/>
                          <w:left w:val="nil"/>
                          <w:bottom w:val="single" w:sz="2" w:space="0" w:color="FFFFFF"/>
                          <w:right w:val="nil"/>
                        </w:tcBorders>
                        <w:vAlign w:val="center"/>
                        <w:hideMark/>
                      </w:tcPr>
                      <w:p w14:paraId="04916A58" w14:textId="77777777" w:rsidR="002C62B2" w:rsidRDefault="002C62B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9A965E5" w14:textId="77777777" w:rsidR="002C62B2" w:rsidRDefault="002C62B2">
                        <w:pPr>
                          <w:pStyle w:val="Heading2"/>
                          <w:rPr>
                            <w:rFonts w:eastAsia="Times New Roman"/>
                            <w:color w:val="93378A"/>
                          </w:rPr>
                        </w:pPr>
                        <w:r>
                          <w:rPr>
                            <w:rFonts w:eastAsia="Times New Roman"/>
                            <w:color w:val="93378A"/>
                          </w:rPr>
                          <w:t>Monday 12th December 2022</w:t>
                        </w:r>
                      </w:p>
                    </w:tc>
                  </w:tr>
                </w:tbl>
                <w:p w14:paraId="4B6ED8BA" w14:textId="77777777" w:rsidR="002C62B2" w:rsidRDefault="002C62B2">
                  <w:pPr>
                    <w:rPr>
                      <w:rFonts w:ascii="Times New Roman" w:eastAsia="Times New Roman" w:hAnsi="Times New Roman" w:cs="Times New Roman"/>
                      <w:sz w:val="20"/>
                      <w:szCs w:val="20"/>
                    </w:rPr>
                  </w:pPr>
                </w:p>
              </w:tc>
            </w:tr>
            <w:tr w:rsidR="002C62B2" w14:paraId="5D90290E" w14:textId="77777777">
              <w:tblPrEx>
                <w:shd w:val="clear" w:color="auto" w:fill="auto"/>
              </w:tblPrEx>
              <w:trPr>
                <w:tblCellSpacing w:w="0" w:type="dxa"/>
                <w:jc w:val="center"/>
              </w:trPr>
              <w:tc>
                <w:tcPr>
                  <w:tcW w:w="9000" w:type="dxa"/>
                  <w:hideMark/>
                </w:tcPr>
                <w:p w14:paraId="3A760AFC" w14:textId="48D90822" w:rsidR="002C62B2" w:rsidRDefault="002C62B2">
                  <w:pPr>
                    <w:rPr>
                      <w:rFonts w:eastAsia="Times New Roman"/>
                    </w:rPr>
                  </w:pPr>
                  <w:r>
                    <w:rPr>
                      <w:rFonts w:eastAsia="Times New Roman"/>
                      <w:noProof/>
                    </w:rPr>
                    <w:drawing>
                      <wp:inline distT="0" distB="0" distL="0" distR="0" wp14:anchorId="2DED9F75" wp14:editId="3282393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C62B2" w14:paraId="461FEA5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2C62B2" w14:paraId="3B410F6F" w14:textId="77777777">
                    <w:trPr>
                      <w:trHeight w:val="150"/>
                      <w:tblCellSpacing w:w="15" w:type="dxa"/>
                      <w:jc w:val="center"/>
                    </w:trPr>
                    <w:tc>
                      <w:tcPr>
                        <w:tcW w:w="150" w:type="dxa"/>
                        <w:vAlign w:val="center"/>
                        <w:hideMark/>
                      </w:tcPr>
                      <w:p w14:paraId="7E83F12C" w14:textId="77777777" w:rsidR="002C62B2" w:rsidRDefault="002C62B2" w:rsidP="002C62B2">
                        <w:pPr>
                          <w:spacing w:line="264" w:lineRule="auto"/>
                          <w:rPr>
                            <w:rFonts w:eastAsia="Times New Roman"/>
                          </w:rPr>
                        </w:pPr>
                      </w:p>
                    </w:tc>
                    <w:tc>
                      <w:tcPr>
                        <w:tcW w:w="8700" w:type="dxa"/>
                        <w:vAlign w:val="center"/>
                        <w:hideMark/>
                      </w:tcPr>
                      <w:p w14:paraId="26C82530" w14:textId="77777777" w:rsidR="002C62B2" w:rsidRDefault="002C62B2" w:rsidP="002C62B2">
                        <w:pPr>
                          <w:spacing w:line="264" w:lineRule="auto"/>
                          <w:rPr>
                            <w:rFonts w:ascii="Times New Roman" w:eastAsia="Times New Roman" w:hAnsi="Times New Roman" w:cs="Times New Roman"/>
                            <w:sz w:val="20"/>
                            <w:szCs w:val="20"/>
                          </w:rPr>
                        </w:pPr>
                      </w:p>
                    </w:tc>
                    <w:tc>
                      <w:tcPr>
                        <w:tcW w:w="150" w:type="dxa"/>
                        <w:vAlign w:val="center"/>
                        <w:hideMark/>
                      </w:tcPr>
                      <w:p w14:paraId="6747742F" w14:textId="77777777" w:rsidR="002C62B2" w:rsidRDefault="002C62B2" w:rsidP="002C62B2">
                        <w:pPr>
                          <w:spacing w:line="264" w:lineRule="auto"/>
                          <w:rPr>
                            <w:rFonts w:ascii="Times New Roman" w:eastAsia="Times New Roman" w:hAnsi="Times New Roman" w:cs="Times New Roman"/>
                            <w:sz w:val="20"/>
                            <w:szCs w:val="20"/>
                          </w:rPr>
                        </w:pPr>
                      </w:p>
                    </w:tc>
                  </w:tr>
                  <w:tr w:rsidR="002C62B2" w14:paraId="77017135" w14:textId="77777777">
                    <w:trPr>
                      <w:tblCellSpacing w:w="15" w:type="dxa"/>
                      <w:jc w:val="center"/>
                    </w:trPr>
                    <w:tc>
                      <w:tcPr>
                        <w:tcW w:w="150" w:type="dxa"/>
                        <w:vAlign w:val="center"/>
                        <w:hideMark/>
                      </w:tcPr>
                      <w:p w14:paraId="49F9DF6E" w14:textId="77777777" w:rsidR="002C62B2" w:rsidRDefault="002C62B2" w:rsidP="002C62B2">
                        <w:pPr>
                          <w:spacing w:line="264" w:lineRule="auto"/>
                          <w:rPr>
                            <w:rFonts w:ascii="Times New Roman" w:eastAsia="Times New Roman" w:hAnsi="Times New Roman" w:cs="Times New Roman"/>
                            <w:sz w:val="20"/>
                            <w:szCs w:val="20"/>
                          </w:rPr>
                        </w:pPr>
                      </w:p>
                    </w:tc>
                    <w:tc>
                      <w:tcPr>
                        <w:tcW w:w="8700" w:type="dxa"/>
                        <w:vAlign w:val="center"/>
                        <w:hideMark/>
                      </w:tcPr>
                      <w:p w14:paraId="11FD4B17"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D3679D0"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0B2532">
                            <v:rect id="_x0000_i1032" style="width:468pt;height:1.5pt" o:hrstd="t" o:hr="t" fillcolor="#a0a0a0" stroked="f"/>
                          </w:pict>
                        </w:r>
                      </w:p>
                      <w:p w14:paraId="6DEBECD6" w14:textId="77777777" w:rsidR="002C62B2" w:rsidRDefault="002C62B2" w:rsidP="002C62B2">
                        <w:pPr>
                          <w:pStyle w:val="Heading2"/>
                          <w:spacing w:after="0"/>
                          <w:rPr>
                            <w:rFonts w:eastAsia="Times New Roman"/>
                          </w:rPr>
                        </w:pPr>
                        <w:r>
                          <w:rPr>
                            <w:rFonts w:eastAsia="Times New Roman"/>
                          </w:rPr>
                          <w:t>In this update: National press coverage on antibiotics supply and pharmacy pressures; weight management campaign; Medicine Supply Notice for Strep A antibiotics; MHRA Drug Safety Update.</w:t>
                        </w:r>
                      </w:p>
                      <w:p w14:paraId="0EE9CA80"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9EB2E7">
                            <v:rect id="_x0000_i1033" style="width:468pt;height:1.5pt" o:hrstd="t" o:hr="t" fillcolor="#a0a0a0" stroked="f"/>
                          </w:pict>
                        </w:r>
                      </w:p>
                      <w:p w14:paraId="3A0A549C" w14:textId="77777777" w:rsidR="002C62B2" w:rsidRDefault="002C62B2" w:rsidP="002C62B2">
                        <w:pPr>
                          <w:pStyle w:val="Heading2"/>
                          <w:spacing w:after="0"/>
                          <w:rPr>
                            <w:rFonts w:eastAsia="Times New Roman"/>
                          </w:rPr>
                        </w:pPr>
                        <w:r>
                          <w:rPr>
                            <w:rFonts w:eastAsia="Times New Roman"/>
                          </w:rPr>
                          <w:t>PSNC press coverage: Antibiotics supply and pharmacy pressures</w:t>
                        </w:r>
                      </w:p>
                      <w:p w14:paraId="395CC2C8"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Chief Executive Janet Morrison appeared on BBC Radio 4’s Today programme this morning to discuss the ongoing disruption to antibiotics supply and the impact this is having on the community pharmacy sector. </w:t>
                        </w:r>
                      </w:p>
                      <w:p w14:paraId="4907EFB4" w14:textId="77777777" w:rsidR="00DA2817" w:rsidRDefault="00DA2817" w:rsidP="002C62B2">
                        <w:pPr>
                          <w:spacing w:line="264" w:lineRule="auto"/>
                          <w:rPr>
                            <w:rFonts w:ascii="Tahoma" w:eastAsia="Times New Roman" w:hAnsi="Tahoma" w:cs="Tahoma"/>
                            <w:color w:val="303030"/>
                            <w:sz w:val="21"/>
                            <w:szCs w:val="21"/>
                          </w:rPr>
                        </w:pPr>
                      </w:p>
                      <w:p w14:paraId="36A951E4" w14:textId="77777777" w:rsidR="002C62B2" w:rsidRDefault="002C62B2" w:rsidP="002C62B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Janet highlighted the difficulties pharmacy teams have encountered when trying to get hold of antibiotics. She also described how unfair drug pricing must not leave pharmacies to make up the shortfall between what the Government pays for medicines and the prices that wholesalers and suppliers are now charging.</w:t>
                        </w:r>
                      </w:p>
                      <w:p w14:paraId="640BC86F" w14:textId="77777777" w:rsidR="00DA2817" w:rsidRDefault="00DA2817" w:rsidP="002C62B2">
                        <w:pPr>
                          <w:pStyle w:val="NormalWeb"/>
                          <w:spacing w:before="0" w:beforeAutospacing="0" w:after="0" w:afterAutospacing="0" w:line="264" w:lineRule="auto"/>
                          <w:rPr>
                            <w:rFonts w:ascii="Tahoma" w:hAnsi="Tahoma" w:cs="Tahoma"/>
                            <w:color w:val="303030"/>
                            <w:sz w:val="21"/>
                            <w:szCs w:val="21"/>
                          </w:rPr>
                        </w:pPr>
                      </w:p>
                      <w:p w14:paraId="18B76C80" w14:textId="77777777" w:rsidR="002C62B2" w:rsidRDefault="002C62B2" w:rsidP="002C62B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and the other national pharmacies bodies also provided information to a number of national journalists over the weekend, including </w:t>
                        </w:r>
                        <w:hyperlink r:id="rId8" w:tgtFrame="_blank" w:history="1">
                          <w:r>
                            <w:rPr>
                              <w:rStyle w:val="Hyperlink"/>
                              <w:rFonts w:ascii="Tahoma" w:hAnsi="Tahoma" w:cs="Tahoma"/>
                              <w:b/>
                              <w:bCs/>
                              <w:color w:val="4E3487"/>
                              <w:sz w:val="21"/>
                              <w:szCs w:val="21"/>
                            </w:rPr>
                            <w:t>The Sunday Times</w:t>
                          </w:r>
                        </w:hyperlink>
                        <w:r>
                          <w:rPr>
                            <w:rFonts w:ascii="Tahoma" w:hAnsi="Tahoma" w:cs="Tahoma"/>
                            <w:color w:val="303030"/>
                            <w:sz w:val="21"/>
                            <w:szCs w:val="21"/>
                          </w:rPr>
                          <w:t>, the </w:t>
                        </w:r>
                        <w:hyperlink r:id="rId9" w:tgtFrame="_blank" w:history="1">
                          <w:r>
                            <w:rPr>
                              <w:rStyle w:val="Strong"/>
                              <w:rFonts w:ascii="Tahoma" w:hAnsi="Tahoma" w:cs="Tahoma"/>
                              <w:color w:val="4E3487"/>
                              <w:sz w:val="21"/>
                              <w:szCs w:val="21"/>
                            </w:rPr>
                            <w:t>Financial Times</w:t>
                          </w:r>
                        </w:hyperlink>
                        <w:r>
                          <w:rPr>
                            <w:rFonts w:ascii="Tahoma" w:hAnsi="Tahoma" w:cs="Tahoma"/>
                            <w:color w:val="303030"/>
                            <w:sz w:val="21"/>
                            <w:szCs w:val="21"/>
                          </w:rPr>
                          <w:t>, and the </w:t>
                        </w:r>
                        <w:hyperlink r:id="rId10" w:tgtFrame="_blank" w:history="1">
                          <w:r>
                            <w:rPr>
                              <w:rStyle w:val="Strong"/>
                              <w:rFonts w:ascii="Tahoma" w:hAnsi="Tahoma" w:cs="Tahoma"/>
                              <w:color w:val="4E3487"/>
                              <w:sz w:val="21"/>
                              <w:szCs w:val="21"/>
                            </w:rPr>
                            <w:t>Mail on Sunday</w:t>
                          </w:r>
                        </w:hyperlink>
                        <w:r>
                          <w:rPr>
                            <w:rFonts w:ascii="Tahoma" w:hAnsi="Tahoma" w:cs="Tahoma"/>
                            <w:color w:val="303030"/>
                            <w:sz w:val="21"/>
                            <w:szCs w:val="21"/>
                          </w:rPr>
                          <w:t>.</w:t>
                        </w:r>
                      </w:p>
                      <w:p w14:paraId="4F4C9795" w14:textId="77777777" w:rsidR="00DA2817" w:rsidRDefault="00DA2817" w:rsidP="002C62B2">
                        <w:pPr>
                          <w:pStyle w:val="NormalWeb"/>
                          <w:spacing w:before="0" w:beforeAutospacing="0" w:after="0" w:afterAutospacing="0" w:line="264" w:lineRule="auto"/>
                          <w:rPr>
                            <w:rFonts w:ascii="Tahoma" w:hAnsi="Tahoma" w:cs="Tahoma"/>
                            <w:color w:val="303030"/>
                            <w:sz w:val="21"/>
                            <w:szCs w:val="21"/>
                          </w:rPr>
                        </w:pPr>
                      </w:p>
                      <w:p w14:paraId="4FCA27B7" w14:textId="77777777" w:rsidR="002C62B2" w:rsidRDefault="002C62B2" w:rsidP="002C62B2">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Pharmacy pressures</w:t>
                        </w:r>
                        <w:r>
                          <w:rPr>
                            <w:rFonts w:ascii="Tahoma" w:eastAsia="Times New Roman" w:hAnsi="Tahoma" w:cs="Tahoma"/>
                            <w:color w:val="303030"/>
                            <w:sz w:val="21"/>
                            <w:szCs w:val="21"/>
                          </w:rPr>
                          <w:br/>
                          <w:t xml:space="preserve">PSNC also continues to take all opportunities to raise awareness of the critical pressure on community pharmacy patient services and the need for a funding uplift. Janet Morrison appeared on Sky News on Saturday talking about the funding crisis affecting the sector. </w:t>
                        </w:r>
                      </w:p>
                      <w:p w14:paraId="26E3282A" w14:textId="77777777" w:rsidR="00DA2817" w:rsidRDefault="00DA2817" w:rsidP="002C62B2">
                        <w:pPr>
                          <w:spacing w:line="264" w:lineRule="auto"/>
                          <w:rPr>
                            <w:rFonts w:ascii="Tahoma" w:eastAsia="Times New Roman" w:hAnsi="Tahoma" w:cs="Tahoma"/>
                            <w:color w:val="303030"/>
                            <w:sz w:val="21"/>
                            <w:szCs w:val="21"/>
                          </w:rPr>
                        </w:pPr>
                      </w:p>
                      <w:p w14:paraId="196280AF" w14:textId="77777777" w:rsidR="002C62B2" w:rsidRDefault="002C62B2" w:rsidP="002C62B2">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more about the recent pharmacy press coverage</w:t>
                          </w:r>
                        </w:hyperlink>
                      </w:p>
                      <w:p w14:paraId="72EF6DF2"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42032F">
                            <v:rect id="_x0000_i1034" style="width:468pt;height:1.5pt" o:hrstd="t" o:hr="t" fillcolor="#a0a0a0" stroked="f"/>
                          </w:pict>
                        </w:r>
                      </w:p>
                      <w:p w14:paraId="6659DBD7" w14:textId="77777777" w:rsidR="002C62B2" w:rsidRDefault="002C62B2" w:rsidP="002C62B2">
                        <w:pPr>
                          <w:pStyle w:val="Heading2"/>
                          <w:spacing w:after="0"/>
                          <w:rPr>
                            <w:rFonts w:eastAsia="Times New Roman"/>
                          </w:rPr>
                        </w:pPr>
                        <w:r>
                          <w:rPr>
                            <w:rFonts w:eastAsia="Times New Roman"/>
                          </w:rPr>
                          <w:t>Mandatory weight management campaign in January</w:t>
                        </w:r>
                      </w:p>
                      <w:p w14:paraId="2053BBEC"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PSNC have agreed that contractors will only have to participate in one mandatory national health campaign for 2022/23. This campaign will be on weight management and will start on Tuesday 3rd January and run until Sunday 29th January 2023. Contractors can order pharmacy specific posters, wallet cards and a dispenser for these cards on the </w:t>
                        </w:r>
                        <w:hyperlink r:id="rId12" w:tgtFrame="_blank" w:history="1">
                          <w:r>
                            <w:rPr>
                              <w:rStyle w:val="Hyperlink"/>
                              <w:rFonts w:ascii="Tahoma" w:eastAsia="Times New Roman" w:hAnsi="Tahoma" w:cs="Tahoma"/>
                              <w:b/>
                              <w:bCs/>
                              <w:color w:val="4E3487"/>
                              <w:sz w:val="21"/>
                              <w:szCs w:val="21"/>
                            </w:rPr>
                            <w:t>Campaign Resource Centre website</w:t>
                          </w:r>
                        </w:hyperlink>
                        <w:r>
                          <w:rPr>
                            <w:rFonts w:ascii="Tahoma" w:eastAsia="Times New Roman" w:hAnsi="Tahoma" w:cs="Tahoma"/>
                            <w:color w:val="303030"/>
                            <w:sz w:val="21"/>
                            <w:szCs w:val="21"/>
                          </w:rPr>
                          <w:t> or use the digital campaign resources available on the site. A </w:t>
                        </w:r>
                        <w:hyperlink r:id="rId13" w:tgtFrame="_blank" w:history="1">
                          <w:r>
                            <w:rPr>
                              <w:rStyle w:val="Hyperlink"/>
                              <w:rFonts w:ascii="Tahoma" w:eastAsia="Times New Roman" w:hAnsi="Tahoma" w:cs="Tahoma"/>
                              <w:b/>
                              <w:bCs/>
                              <w:color w:val="4E3487"/>
                              <w:sz w:val="21"/>
                              <w:szCs w:val="21"/>
                            </w:rPr>
                            <w:t>guidance leaflet</w:t>
                          </w:r>
                        </w:hyperlink>
                        <w:r>
                          <w:rPr>
                            <w:rFonts w:ascii="Tahoma" w:eastAsia="Times New Roman" w:hAnsi="Tahoma" w:cs="Tahoma"/>
                            <w:color w:val="303030"/>
                            <w:sz w:val="21"/>
                            <w:szCs w:val="21"/>
                          </w:rPr>
                          <w:t> to support community pharmacy teams’ conversations with patients is also available. </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Pharmacy teams are required to proactively discuss weight management with a minimum of 25 patients and refer at least four patients (who meets the criteria for referral) to either a Local Authority funded tier 2 weight management service or the NHS Digital Weight Management Programme as part of the Healthy living support domain of the 2022/23 Pharmacy Quality Scheme. Pharmacy teams could, therefore, use the campaign materials as conversation starters to assist them with meeting these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Learn more about the weight management campaign</w:t>
                          </w:r>
                        </w:hyperlink>
                        <w:r>
                          <w:rPr>
                            <w:rFonts w:ascii="Tahoma" w:eastAsia="Times New Roman" w:hAnsi="Tahoma" w:cs="Tahoma"/>
                            <w:color w:val="303030"/>
                            <w:sz w:val="21"/>
                            <w:szCs w:val="21"/>
                          </w:rPr>
                          <w:t xml:space="preserve"> </w:t>
                        </w:r>
                      </w:p>
                      <w:p w14:paraId="475D0707"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8115EA">
                            <v:rect id="_x0000_i1035" style="width:468pt;height:1.5pt" o:hrstd="t" o:hr="t" fillcolor="#a0a0a0" stroked="f"/>
                          </w:pict>
                        </w:r>
                      </w:p>
                      <w:p w14:paraId="56E37D85" w14:textId="77777777" w:rsidR="002C62B2" w:rsidRDefault="002C62B2" w:rsidP="002C62B2">
                        <w:pPr>
                          <w:pStyle w:val="Heading2"/>
                          <w:spacing w:after="0"/>
                          <w:rPr>
                            <w:rFonts w:eastAsia="Times New Roman"/>
                          </w:rPr>
                        </w:pPr>
                        <w:r>
                          <w:rPr>
                            <w:rFonts w:eastAsia="Times New Roman"/>
                          </w:rPr>
                          <w:t xml:space="preserve">Medicine Supply Notification: Antibiotics for the treatment of Group </w:t>
                        </w:r>
                        <w:proofErr w:type="gramStart"/>
                        <w:r>
                          <w:rPr>
                            <w:rFonts w:eastAsia="Times New Roman"/>
                          </w:rPr>
                          <w:t>A Strep</w:t>
                        </w:r>
                        <w:proofErr w:type="gramEnd"/>
                      </w:p>
                      <w:p w14:paraId="70533952"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issued a medicine supply notification for Antibiotics for the treatment of Group </w:t>
                        </w:r>
                        <w:proofErr w:type="gramStart"/>
                        <w:r>
                          <w:rPr>
                            <w:rFonts w:ascii="Tahoma" w:eastAsia="Times New Roman" w:hAnsi="Tahoma" w:cs="Tahoma"/>
                            <w:color w:val="303030"/>
                            <w:sz w:val="21"/>
                            <w:szCs w:val="21"/>
                          </w:rPr>
                          <w:t>A Strep</w:t>
                        </w:r>
                        <w:proofErr w:type="gramEnd"/>
                        <w:r>
                          <w:rPr>
                            <w:rFonts w:ascii="Tahoma" w:eastAsia="Times New Roman" w:hAnsi="Tahoma" w:cs="Tahoma"/>
                            <w:color w:val="303030"/>
                            <w:sz w:val="21"/>
                            <w:szCs w:val="21"/>
                          </w:rPr>
                          <w:t xml:space="preserve">. This states that supplies of these antibiotics have seen a surge in demand and may be temporarily in limited supply, but deliveries are being expedited and are expected in the coming days. </w:t>
                        </w:r>
                      </w:p>
                      <w:p w14:paraId="2F191AC5" w14:textId="77777777" w:rsidR="00FA57DA" w:rsidRDefault="00FA57DA" w:rsidP="002C62B2">
                        <w:pPr>
                          <w:spacing w:line="264" w:lineRule="auto"/>
                          <w:rPr>
                            <w:rFonts w:ascii="Tahoma" w:eastAsia="Times New Roman" w:hAnsi="Tahoma" w:cs="Tahoma"/>
                            <w:color w:val="303030"/>
                            <w:sz w:val="21"/>
                            <w:szCs w:val="21"/>
                          </w:rPr>
                        </w:pPr>
                      </w:p>
                      <w:p w14:paraId="43CAEF1B" w14:textId="77777777" w:rsidR="002C62B2" w:rsidRDefault="002C62B2" w:rsidP="002C62B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warned the Department about the very serious impact this issue is having on pharmacies. In addition, we have pressed DHSC to think broadly about what measures could help to manage the current crisis.</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w:t>
                          </w:r>
                        </w:hyperlink>
                      </w:p>
                      <w:p w14:paraId="5B43C370"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3284CE">
                            <v:rect id="_x0000_i1036" style="width:468pt;height:1.5pt" o:hrstd="t" o:hr="t" fillcolor="#a0a0a0" stroked="f"/>
                          </w:pict>
                        </w:r>
                      </w:p>
                      <w:p w14:paraId="51AD775A" w14:textId="77777777" w:rsidR="002C62B2" w:rsidRDefault="002C62B2" w:rsidP="002C62B2">
                        <w:pPr>
                          <w:pStyle w:val="Heading2"/>
                          <w:spacing w:after="0"/>
                          <w:rPr>
                            <w:rFonts w:eastAsia="Times New Roman"/>
                          </w:rPr>
                        </w:pPr>
                        <w:r>
                          <w:rPr>
                            <w:rFonts w:eastAsia="Times New Roman"/>
                          </w:rPr>
                          <w:t>MHRA Drug Safety Update: December 2022</w:t>
                        </w:r>
                      </w:p>
                      <w:p w14:paraId="06C8A578" w14:textId="77777777" w:rsidR="002C62B2" w:rsidRDefault="002C62B2" w:rsidP="002C62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new Medicines and Healthcare products Regulatory Agency (MHRA) Drug Safety Update has been published including articles on Valproate, COVID-19 </w:t>
                        </w:r>
                        <w:proofErr w:type="gramStart"/>
                        <w:r>
                          <w:rPr>
                            <w:rFonts w:ascii="Tahoma" w:eastAsia="Times New Roman" w:hAnsi="Tahoma" w:cs="Tahoma"/>
                            <w:color w:val="303030"/>
                            <w:sz w:val="21"/>
                            <w:szCs w:val="21"/>
                          </w:rPr>
                          <w:t>vaccines</w:t>
                        </w:r>
                        <w:proofErr w:type="gramEnd"/>
                        <w:r>
                          <w:rPr>
                            <w:rFonts w:ascii="Tahoma" w:eastAsia="Times New Roman" w:hAnsi="Tahoma" w:cs="Tahoma"/>
                            <w:color w:val="303030"/>
                            <w:sz w:val="21"/>
                            <w:szCs w:val="21"/>
                          </w:rPr>
                          <w:t xml:space="preserve"> and medicines and more. </w:t>
                        </w:r>
                      </w:p>
                      <w:p w14:paraId="2C99536C" w14:textId="77777777" w:rsidR="00FA57DA" w:rsidRDefault="00FA57DA" w:rsidP="002C62B2">
                        <w:pPr>
                          <w:spacing w:line="264" w:lineRule="auto"/>
                          <w:rPr>
                            <w:rFonts w:ascii="Tahoma" w:eastAsia="Times New Roman" w:hAnsi="Tahoma" w:cs="Tahoma"/>
                            <w:color w:val="303030"/>
                            <w:sz w:val="21"/>
                            <w:szCs w:val="21"/>
                          </w:rPr>
                        </w:pPr>
                      </w:p>
                      <w:p w14:paraId="5A80A40A" w14:textId="77777777" w:rsidR="002C62B2" w:rsidRDefault="002C62B2" w:rsidP="002C62B2">
                        <w:pPr>
                          <w:pStyle w:val="NormalWeb"/>
                          <w:spacing w:before="0" w:beforeAutospacing="0" w:after="0" w:afterAutospacing="0" w:line="264" w:lineRule="auto"/>
                          <w:rPr>
                            <w:rFonts w:ascii="Tahoma" w:hAnsi="Tahoma" w:cs="Tahoma"/>
                            <w:color w:val="303030"/>
                            <w:sz w:val="21"/>
                            <w:szCs w:val="21"/>
                          </w:rPr>
                        </w:pPr>
                        <w:hyperlink r:id="rId16" w:tgtFrame="_blank" w:history="1">
                          <w:r>
                            <w:rPr>
                              <w:rStyle w:val="Hyperlink"/>
                              <w:rFonts w:ascii="Tahoma" w:hAnsi="Tahoma" w:cs="Tahoma"/>
                              <w:b/>
                              <w:bCs/>
                              <w:color w:val="4E3487"/>
                              <w:sz w:val="21"/>
                              <w:szCs w:val="21"/>
                            </w:rPr>
                            <w:t>Read the December MHRA Drug Safety Update</w:t>
                          </w:r>
                        </w:hyperlink>
                      </w:p>
                    </w:tc>
                    <w:tc>
                      <w:tcPr>
                        <w:tcW w:w="150" w:type="dxa"/>
                        <w:vAlign w:val="center"/>
                        <w:hideMark/>
                      </w:tcPr>
                      <w:p w14:paraId="1421FD5C" w14:textId="77777777" w:rsidR="002C62B2" w:rsidRDefault="002C62B2" w:rsidP="002C62B2">
                        <w:pPr>
                          <w:spacing w:line="264" w:lineRule="auto"/>
                          <w:rPr>
                            <w:rFonts w:ascii="Tahoma" w:hAnsi="Tahoma" w:cs="Tahoma"/>
                            <w:color w:val="303030"/>
                            <w:sz w:val="21"/>
                            <w:szCs w:val="21"/>
                          </w:rPr>
                        </w:pPr>
                      </w:p>
                    </w:tc>
                  </w:tr>
                  <w:tr w:rsidR="002C62B2" w14:paraId="6F5D7C14" w14:textId="77777777">
                    <w:trPr>
                      <w:trHeight w:val="150"/>
                      <w:tblCellSpacing w:w="15" w:type="dxa"/>
                      <w:jc w:val="center"/>
                    </w:trPr>
                    <w:tc>
                      <w:tcPr>
                        <w:tcW w:w="150" w:type="dxa"/>
                        <w:vAlign w:val="center"/>
                        <w:hideMark/>
                      </w:tcPr>
                      <w:p w14:paraId="0D6106B4" w14:textId="77777777" w:rsidR="002C62B2" w:rsidRDefault="002C62B2" w:rsidP="002C62B2">
                        <w:pPr>
                          <w:spacing w:line="264" w:lineRule="auto"/>
                          <w:rPr>
                            <w:rFonts w:ascii="Times New Roman" w:eastAsia="Times New Roman" w:hAnsi="Times New Roman" w:cs="Times New Roman"/>
                            <w:sz w:val="20"/>
                            <w:szCs w:val="20"/>
                          </w:rPr>
                        </w:pPr>
                      </w:p>
                    </w:tc>
                    <w:tc>
                      <w:tcPr>
                        <w:tcW w:w="8700" w:type="dxa"/>
                        <w:vAlign w:val="center"/>
                        <w:hideMark/>
                      </w:tcPr>
                      <w:p w14:paraId="5E4AD206" w14:textId="77777777" w:rsidR="002C62B2" w:rsidRDefault="002C62B2" w:rsidP="002C62B2">
                        <w:pPr>
                          <w:spacing w:line="264" w:lineRule="auto"/>
                          <w:rPr>
                            <w:rFonts w:ascii="Times New Roman" w:eastAsia="Times New Roman" w:hAnsi="Times New Roman" w:cs="Times New Roman"/>
                            <w:sz w:val="20"/>
                            <w:szCs w:val="20"/>
                          </w:rPr>
                        </w:pPr>
                      </w:p>
                    </w:tc>
                    <w:tc>
                      <w:tcPr>
                        <w:tcW w:w="150" w:type="dxa"/>
                        <w:vAlign w:val="center"/>
                        <w:hideMark/>
                      </w:tcPr>
                      <w:p w14:paraId="77681794" w14:textId="77777777" w:rsidR="002C62B2" w:rsidRDefault="002C62B2" w:rsidP="002C62B2">
                        <w:pPr>
                          <w:spacing w:line="264" w:lineRule="auto"/>
                          <w:rPr>
                            <w:rFonts w:ascii="Times New Roman" w:eastAsia="Times New Roman" w:hAnsi="Times New Roman" w:cs="Times New Roman"/>
                            <w:sz w:val="20"/>
                            <w:szCs w:val="20"/>
                          </w:rPr>
                        </w:pPr>
                      </w:p>
                    </w:tc>
                  </w:tr>
                </w:tbl>
                <w:p w14:paraId="706DFA15" w14:textId="77777777" w:rsidR="002C62B2" w:rsidRDefault="002C62B2" w:rsidP="002C62B2">
                  <w:pPr>
                    <w:spacing w:line="264" w:lineRule="auto"/>
                    <w:rPr>
                      <w:rFonts w:ascii="Times New Roman" w:eastAsia="Times New Roman" w:hAnsi="Times New Roman" w:cs="Times New Roman"/>
                      <w:sz w:val="20"/>
                      <w:szCs w:val="20"/>
                    </w:rPr>
                  </w:pPr>
                </w:p>
              </w:tc>
            </w:tr>
          </w:tbl>
          <w:p w14:paraId="516E0F67" w14:textId="77777777" w:rsidR="002C62B2" w:rsidRDefault="002C62B2">
            <w:pPr>
              <w:jc w:val="center"/>
              <w:rPr>
                <w:rFonts w:ascii="Times New Roman" w:eastAsia="Times New Roman" w:hAnsi="Times New Roman" w:cs="Times New Roman"/>
                <w:sz w:val="20"/>
                <w:szCs w:val="20"/>
              </w:rPr>
            </w:pPr>
          </w:p>
        </w:tc>
      </w:tr>
      <w:tr w:rsidR="002C62B2" w14:paraId="2313F4CE" w14:textId="77777777" w:rsidTr="002C62B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C62B2" w14:paraId="7BD92EE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C62B2" w14:paraId="39C7733A" w14:textId="77777777">
                    <w:trPr>
                      <w:tblCellSpacing w:w="0" w:type="dxa"/>
                      <w:jc w:val="center"/>
                    </w:trPr>
                    <w:tc>
                      <w:tcPr>
                        <w:tcW w:w="3000" w:type="dxa"/>
                        <w:tcMar>
                          <w:top w:w="30" w:type="dxa"/>
                          <w:left w:w="75" w:type="dxa"/>
                          <w:bottom w:w="30" w:type="dxa"/>
                          <w:right w:w="75" w:type="dxa"/>
                        </w:tcMar>
                        <w:hideMark/>
                      </w:tcPr>
                      <w:p w14:paraId="0B988028" w14:textId="77777777" w:rsidR="002C62B2" w:rsidRDefault="002C62B2">
                        <w:pPr>
                          <w:pStyle w:val="Heading4"/>
                          <w:jc w:val="center"/>
                          <w:rPr>
                            <w:rFonts w:eastAsia="Times New Roman"/>
                          </w:rPr>
                        </w:pPr>
                        <w:r>
                          <w:rPr>
                            <w:rFonts w:eastAsia="Times New Roman"/>
                          </w:rPr>
                          <w:lastRenderedPageBreak/>
                          <w:t>Pharmaceutical Services Negotiating Committee</w:t>
                        </w:r>
                      </w:p>
                      <w:p w14:paraId="7479385F" w14:textId="1CB5D857" w:rsidR="002C62B2" w:rsidRDefault="002C62B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01DA1AA" wp14:editId="65AF9A0D">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CFAD87" wp14:editId="0469DC6F">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410BC7" wp14:editId="3046504C">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F6DB52C" wp14:editId="52D75FF8">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9749D67" w14:textId="77777777" w:rsidR="002C62B2" w:rsidRDefault="002C62B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C62B2" w14:paraId="0D52DC97" w14:textId="77777777" w:rsidTr="002C62B2">
                    <w:trPr>
                      <w:trHeight w:val="63"/>
                      <w:tblCellSpacing w:w="0" w:type="dxa"/>
                      <w:jc w:val="center"/>
                    </w:trPr>
                    <w:tc>
                      <w:tcPr>
                        <w:tcW w:w="9000" w:type="dxa"/>
                        <w:tcMar>
                          <w:top w:w="150" w:type="dxa"/>
                          <w:left w:w="0" w:type="dxa"/>
                          <w:bottom w:w="0" w:type="dxa"/>
                          <w:right w:w="0" w:type="dxa"/>
                        </w:tcMar>
                        <w:vAlign w:val="center"/>
                        <w:hideMark/>
                      </w:tcPr>
                      <w:p w14:paraId="339C46BF" w14:textId="0E002CE4" w:rsidR="002C62B2" w:rsidRDefault="002C62B2" w:rsidP="002C62B2">
                        <w:pPr>
                          <w:rPr>
                            <w:rFonts w:ascii="Arial" w:eastAsia="Times New Roman" w:hAnsi="Arial" w:cs="Arial"/>
                            <w:color w:val="FFFFFF"/>
                            <w:sz w:val="17"/>
                            <w:szCs w:val="17"/>
                          </w:rPr>
                        </w:pPr>
                      </w:p>
                    </w:tc>
                  </w:tr>
                </w:tbl>
                <w:p w14:paraId="3EE5401B" w14:textId="77777777" w:rsidR="002C62B2" w:rsidRDefault="002C62B2">
                  <w:pPr>
                    <w:jc w:val="center"/>
                    <w:rPr>
                      <w:rFonts w:ascii="Times New Roman" w:eastAsia="Times New Roman" w:hAnsi="Times New Roman" w:cs="Times New Roman"/>
                      <w:sz w:val="20"/>
                      <w:szCs w:val="20"/>
                    </w:rPr>
                  </w:pPr>
                </w:p>
              </w:tc>
            </w:tr>
          </w:tbl>
          <w:p w14:paraId="55EA92F0" w14:textId="77777777" w:rsidR="002C62B2" w:rsidRDefault="002C62B2">
            <w:pPr>
              <w:jc w:val="center"/>
              <w:rPr>
                <w:rFonts w:ascii="Times New Roman" w:eastAsia="Times New Roman" w:hAnsi="Times New Roman" w:cs="Times New Roman"/>
                <w:sz w:val="20"/>
                <w:szCs w:val="20"/>
              </w:rPr>
            </w:pPr>
          </w:p>
        </w:tc>
      </w:tr>
    </w:tbl>
    <w:p w14:paraId="4FA340BA" w14:textId="7D3E510F" w:rsidR="002C62B2" w:rsidRDefault="002C62B2" w:rsidP="002C62B2">
      <w:pPr>
        <w:rPr>
          <w:rFonts w:eastAsia="Times New Roman"/>
        </w:rPr>
      </w:pPr>
      <w:r>
        <w:rPr>
          <w:rFonts w:eastAsia="Times New Roman"/>
          <w:noProof/>
        </w:rPr>
        <w:drawing>
          <wp:inline distT="0" distB="0" distL="0" distR="0" wp14:anchorId="0ECC37B2" wp14:editId="5AC2C64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5FCAB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B2"/>
    <w:rsid w:val="002C62B2"/>
    <w:rsid w:val="00DA2817"/>
    <w:rsid w:val="00DD1890"/>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D29C"/>
  <w15:chartTrackingRefBased/>
  <w15:docId w15:val="{9BEEA99C-75D9-40C9-B709-16A242C4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B2"/>
    <w:rPr>
      <w:rFonts w:ascii="Calibri" w:hAnsi="Calibri" w:cs="Calibri"/>
      <w:lang w:eastAsia="en-GB"/>
    </w:rPr>
  </w:style>
  <w:style w:type="paragraph" w:styleId="Heading1">
    <w:name w:val="heading 1"/>
    <w:basedOn w:val="Normal"/>
    <w:link w:val="Heading1Char"/>
    <w:uiPriority w:val="9"/>
    <w:qFormat/>
    <w:rsid w:val="002C62B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C62B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2C62B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B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C62B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2C62B2"/>
    <w:rPr>
      <w:rFonts w:ascii="Tahoma" w:hAnsi="Tahoma" w:cs="Tahoma"/>
      <w:b/>
      <w:bCs/>
      <w:color w:val="FFFFFF"/>
      <w:sz w:val="18"/>
      <w:szCs w:val="18"/>
      <w:lang w:eastAsia="en-GB"/>
    </w:rPr>
  </w:style>
  <w:style w:type="paragraph" w:styleId="NormalWeb">
    <w:name w:val="Normal (Web)"/>
    <w:basedOn w:val="Normal"/>
    <w:uiPriority w:val="99"/>
    <w:semiHidden/>
    <w:unhideWhenUsed/>
    <w:rsid w:val="002C62B2"/>
    <w:pPr>
      <w:spacing w:before="100" w:beforeAutospacing="1" w:after="100" w:afterAutospacing="1"/>
    </w:pPr>
  </w:style>
  <w:style w:type="character" w:styleId="Strong">
    <w:name w:val="Strong"/>
    <w:basedOn w:val="DefaultParagraphFont"/>
    <w:uiPriority w:val="22"/>
    <w:qFormat/>
    <w:rsid w:val="002C62B2"/>
    <w:rPr>
      <w:b/>
      <w:bCs/>
    </w:rPr>
  </w:style>
  <w:style w:type="character" w:styleId="Hyperlink">
    <w:name w:val="Hyperlink"/>
    <w:basedOn w:val="DefaultParagraphFont"/>
    <w:uiPriority w:val="99"/>
    <w:semiHidden/>
    <w:unhideWhenUsed/>
    <w:rsid w:val="002C6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07702e4ee&amp;e=d19e9fd41c" TargetMode="External"/><Relationship Id="rId13" Type="http://schemas.openxmlformats.org/officeDocument/2006/relationships/hyperlink" Target="https://psnc.us7.list-manage.com/track/click?u=86d41ab7fa4c7c2c5d7210782&amp;id=94098db02b&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a1af2968aa&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f189eed00&amp;e=d19e9fd41c" TargetMode="External"/><Relationship Id="rId17" Type="http://schemas.openxmlformats.org/officeDocument/2006/relationships/hyperlink" Target="https://psnc.us7.list-manage.com/track/click?u=86d41ab7fa4c7c2c5d7210782&amp;id=34a1444dfd&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dd9b6148c3&amp;e=d19e9fd41c" TargetMode="External"/><Relationship Id="rId20" Type="http://schemas.openxmlformats.org/officeDocument/2006/relationships/hyperlink" Target="https://psnc.us7.list-manage.com/track/click?u=86d41ab7fa4c7c2c5d7210782&amp;id=c0d2ce66f2&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660bf7f6f&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8b1aa3401&amp;e=d19e9fd41c" TargetMode="External"/><Relationship Id="rId23" Type="http://schemas.openxmlformats.org/officeDocument/2006/relationships/hyperlink" Target="https://psnc.us7.list-manage.com/track/click?u=86d41ab7fa4c7c2c5d7210782&amp;id=18fd719ec2&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e8ec0a4313&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32af602bf9&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3df519629&amp;e=d19e9fd41c" TargetMode="External"/><Relationship Id="rId14" Type="http://schemas.openxmlformats.org/officeDocument/2006/relationships/hyperlink" Target="https://psnc.us7.list-manage.com/track/click?u=86d41ab7fa4c7c2c5d7210782&amp;id=e113ee82c3&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2022-12-13T08:48:00Z</dcterms:created>
  <dcterms:modified xsi:type="dcterms:W3CDTF">2022-12-13T09:12:00Z</dcterms:modified>
</cp:coreProperties>
</file>