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0A6102" w14:paraId="11A46AE1" w14:textId="77777777" w:rsidTr="000A6102">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A6102" w14:paraId="79F21E10"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0A6102" w14:paraId="7905B13C" w14:textId="77777777">
                    <w:trPr>
                      <w:tblCellSpacing w:w="0" w:type="dxa"/>
                      <w:jc w:val="center"/>
                    </w:trPr>
                    <w:tc>
                      <w:tcPr>
                        <w:tcW w:w="3000" w:type="dxa"/>
                        <w:hideMark/>
                      </w:tcPr>
                      <w:p w14:paraId="661970B5" w14:textId="5354428A" w:rsidR="000A6102" w:rsidRDefault="000A6102">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A6D30B2" w14:textId="77777777" w:rsidR="000A6102" w:rsidRDefault="000A6102">
                  <w:pPr>
                    <w:jc w:val="center"/>
                    <w:rPr>
                      <w:rFonts w:ascii="Times New Roman" w:eastAsia="Times New Roman" w:hAnsi="Times New Roman" w:cs="Times New Roman"/>
                      <w:sz w:val="20"/>
                      <w:szCs w:val="20"/>
                    </w:rPr>
                  </w:pPr>
                </w:p>
              </w:tc>
            </w:tr>
            <w:tr w:rsidR="000A6102" w14:paraId="1854E7DF"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0A6102" w14:paraId="4639FEEC"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1845BB95" w14:textId="587A091B" w:rsidR="000A6102" w:rsidRDefault="000A6102">
                        <w:pPr>
                          <w:jc w:val="center"/>
                          <w:rPr>
                            <w:rFonts w:eastAsia="Times New Roman"/>
                          </w:rPr>
                        </w:pPr>
                        <w:r>
                          <w:rPr>
                            <w:rFonts w:eastAsia="Times New Roman"/>
                            <w:noProof/>
                          </w:rPr>
                          <w:drawing>
                            <wp:inline distT="0" distB="0" distL="0" distR="0" wp14:anchorId="45483A16" wp14:editId="6ABC64F5">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0A6102" w14:paraId="71CFEB22" w14:textId="77777777">
                    <w:trPr>
                      <w:tblCellSpacing w:w="0" w:type="dxa"/>
                    </w:trPr>
                    <w:tc>
                      <w:tcPr>
                        <w:tcW w:w="0" w:type="auto"/>
                        <w:vMerge/>
                        <w:tcBorders>
                          <w:top w:val="nil"/>
                          <w:left w:val="nil"/>
                          <w:bottom w:val="single" w:sz="2" w:space="0" w:color="FFFFFF"/>
                          <w:right w:val="nil"/>
                        </w:tcBorders>
                        <w:vAlign w:val="center"/>
                        <w:hideMark/>
                      </w:tcPr>
                      <w:p w14:paraId="39F57BA0" w14:textId="77777777" w:rsidR="000A6102" w:rsidRDefault="000A6102">
                        <w:pPr>
                          <w:rPr>
                            <w:rFonts w:eastAsia="Times New Roman"/>
                          </w:rPr>
                        </w:pPr>
                      </w:p>
                    </w:tc>
                    <w:tc>
                      <w:tcPr>
                        <w:tcW w:w="3450" w:type="dxa"/>
                        <w:tcBorders>
                          <w:top w:val="nil"/>
                          <w:left w:val="nil"/>
                          <w:bottom w:val="nil"/>
                          <w:right w:val="nil"/>
                        </w:tcBorders>
                        <w:vAlign w:val="center"/>
                        <w:hideMark/>
                      </w:tcPr>
                      <w:p w14:paraId="19948570" w14:textId="77777777" w:rsidR="000A6102" w:rsidRDefault="000A6102">
                        <w:pPr>
                          <w:pStyle w:val="Heading1"/>
                          <w:rPr>
                            <w:rFonts w:eastAsia="Times New Roman"/>
                          </w:rPr>
                        </w:pPr>
                        <w:r>
                          <w:rPr>
                            <w:rFonts w:eastAsia="Times New Roman"/>
                          </w:rPr>
                          <w:t>PSNC Newsletter</w:t>
                        </w:r>
                      </w:p>
                    </w:tc>
                  </w:tr>
                  <w:tr w:rsidR="000A6102" w14:paraId="20661E45" w14:textId="77777777">
                    <w:trPr>
                      <w:tblCellSpacing w:w="0" w:type="dxa"/>
                    </w:trPr>
                    <w:tc>
                      <w:tcPr>
                        <w:tcW w:w="0" w:type="auto"/>
                        <w:vMerge/>
                        <w:tcBorders>
                          <w:top w:val="nil"/>
                          <w:left w:val="nil"/>
                          <w:bottom w:val="single" w:sz="2" w:space="0" w:color="FFFFFF"/>
                          <w:right w:val="nil"/>
                        </w:tcBorders>
                        <w:vAlign w:val="center"/>
                        <w:hideMark/>
                      </w:tcPr>
                      <w:p w14:paraId="507C6233" w14:textId="77777777" w:rsidR="000A6102" w:rsidRDefault="000A6102">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4ED01944" w14:textId="77777777" w:rsidR="000A6102" w:rsidRDefault="000A6102">
                        <w:pPr>
                          <w:pStyle w:val="Heading2"/>
                          <w:rPr>
                            <w:rFonts w:eastAsia="Times New Roman"/>
                            <w:color w:val="93378A"/>
                          </w:rPr>
                        </w:pPr>
                        <w:r>
                          <w:rPr>
                            <w:rFonts w:eastAsia="Times New Roman"/>
                            <w:color w:val="93378A"/>
                          </w:rPr>
                          <w:t>Friday 23rd December 2022</w:t>
                        </w:r>
                      </w:p>
                    </w:tc>
                  </w:tr>
                </w:tbl>
                <w:p w14:paraId="08A40B5F" w14:textId="77777777" w:rsidR="000A6102" w:rsidRDefault="000A6102">
                  <w:pPr>
                    <w:rPr>
                      <w:rFonts w:ascii="Times New Roman" w:eastAsia="Times New Roman" w:hAnsi="Times New Roman" w:cs="Times New Roman"/>
                      <w:sz w:val="20"/>
                      <w:szCs w:val="20"/>
                    </w:rPr>
                  </w:pPr>
                </w:p>
              </w:tc>
            </w:tr>
            <w:tr w:rsidR="000A6102" w14:paraId="7896AEE7" w14:textId="77777777">
              <w:tblPrEx>
                <w:shd w:val="clear" w:color="auto" w:fill="auto"/>
              </w:tblPrEx>
              <w:trPr>
                <w:tblCellSpacing w:w="0" w:type="dxa"/>
                <w:jc w:val="center"/>
              </w:trPr>
              <w:tc>
                <w:tcPr>
                  <w:tcW w:w="9000" w:type="dxa"/>
                  <w:hideMark/>
                </w:tcPr>
                <w:p w14:paraId="0C501DDF" w14:textId="3D8FFA38" w:rsidR="000A6102" w:rsidRDefault="000A6102">
                  <w:pPr>
                    <w:rPr>
                      <w:rFonts w:eastAsia="Times New Roman"/>
                    </w:rPr>
                  </w:pPr>
                  <w:r>
                    <w:rPr>
                      <w:rFonts w:eastAsia="Times New Roman"/>
                      <w:noProof/>
                    </w:rPr>
                    <w:drawing>
                      <wp:inline distT="0" distB="0" distL="0" distR="0" wp14:anchorId="7EE924B9" wp14:editId="15C4E4F3">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0A6102" w14:paraId="35D95F31"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6"/>
                    <w:gridCol w:w="192"/>
                  </w:tblGrid>
                  <w:tr w:rsidR="000A6102" w14:paraId="15500A2C" w14:textId="77777777">
                    <w:trPr>
                      <w:trHeight w:val="150"/>
                      <w:tblCellSpacing w:w="15" w:type="dxa"/>
                      <w:jc w:val="center"/>
                    </w:trPr>
                    <w:tc>
                      <w:tcPr>
                        <w:tcW w:w="150" w:type="dxa"/>
                        <w:vAlign w:val="center"/>
                        <w:hideMark/>
                      </w:tcPr>
                      <w:p w14:paraId="47C0CB47" w14:textId="77777777" w:rsidR="000A6102" w:rsidRDefault="000A6102" w:rsidP="000A6102">
                        <w:pPr>
                          <w:spacing w:line="264" w:lineRule="auto"/>
                          <w:rPr>
                            <w:rFonts w:eastAsia="Times New Roman"/>
                          </w:rPr>
                        </w:pPr>
                      </w:p>
                    </w:tc>
                    <w:tc>
                      <w:tcPr>
                        <w:tcW w:w="8700" w:type="dxa"/>
                        <w:vAlign w:val="center"/>
                        <w:hideMark/>
                      </w:tcPr>
                      <w:p w14:paraId="4A434A45" w14:textId="77777777" w:rsidR="000A6102" w:rsidRDefault="000A6102" w:rsidP="000A6102">
                        <w:pPr>
                          <w:spacing w:line="264" w:lineRule="auto"/>
                          <w:rPr>
                            <w:rFonts w:ascii="Times New Roman" w:eastAsia="Times New Roman" w:hAnsi="Times New Roman" w:cs="Times New Roman"/>
                            <w:sz w:val="20"/>
                            <w:szCs w:val="20"/>
                          </w:rPr>
                        </w:pPr>
                      </w:p>
                    </w:tc>
                    <w:tc>
                      <w:tcPr>
                        <w:tcW w:w="150" w:type="dxa"/>
                        <w:vAlign w:val="center"/>
                        <w:hideMark/>
                      </w:tcPr>
                      <w:p w14:paraId="12850CFD" w14:textId="77777777" w:rsidR="000A6102" w:rsidRDefault="000A6102" w:rsidP="000A6102">
                        <w:pPr>
                          <w:spacing w:line="264" w:lineRule="auto"/>
                          <w:rPr>
                            <w:rFonts w:ascii="Times New Roman" w:eastAsia="Times New Roman" w:hAnsi="Times New Roman" w:cs="Times New Roman"/>
                            <w:sz w:val="20"/>
                            <w:szCs w:val="20"/>
                          </w:rPr>
                        </w:pPr>
                      </w:p>
                    </w:tc>
                  </w:tr>
                  <w:tr w:rsidR="000A6102" w14:paraId="685A8C18" w14:textId="77777777">
                    <w:trPr>
                      <w:tblCellSpacing w:w="15" w:type="dxa"/>
                      <w:jc w:val="center"/>
                    </w:trPr>
                    <w:tc>
                      <w:tcPr>
                        <w:tcW w:w="150" w:type="dxa"/>
                        <w:vAlign w:val="center"/>
                        <w:hideMark/>
                      </w:tcPr>
                      <w:p w14:paraId="3AA2FFAB" w14:textId="77777777" w:rsidR="000A6102" w:rsidRDefault="000A6102" w:rsidP="000A6102">
                        <w:pPr>
                          <w:spacing w:line="264" w:lineRule="auto"/>
                          <w:rPr>
                            <w:rFonts w:ascii="Times New Roman" w:eastAsia="Times New Roman" w:hAnsi="Times New Roman" w:cs="Times New Roman"/>
                            <w:sz w:val="20"/>
                            <w:szCs w:val="20"/>
                          </w:rPr>
                        </w:pPr>
                      </w:p>
                    </w:tc>
                    <w:tc>
                      <w:tcPr>
                        <w:tcW w:w="8700" w:type="dxa"/>
                        <w:vAlign w:val="center"/>
                        <w:hideMark/>
                      </w:tcPr>
                      <w:p w14:paraId="1A371A1E"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4EF19FF4"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132B907">
                            <v:rect id="_x0000_i1032" style="width:468pt;height:1.5pt" o:hrstd="t" o:hr="t" fillcolor="#a0a0a0" stroked="f"/>
                          </w:pict>
                        </w:r>
                      </w:p>
                      <w:p w14:paraId="2692302E" w14:textId="77777777" w:rsidR="000A6102" w:rsidRDefault="000A6102" w:rsidP="000A6102">
                        <w:pPr>
                          <w:pStyle w:val="Heading2"/>
                          <w:spacing w:after="0"/>
                          <w:rPr>
                            <w:rFonts w:eastAsia="Times New Roman"/>
                          </w:rPr>
                        </w:pPr>
                        <w:r>
                          <w:rPr>
                            <w:rFonts w:eastAsia="Times New Roman"/>
                          </w:rPr>
                          <w:t>In this update: Dispensing and supply updates; joint letter to Health Secretary; preparing for next year's PSNC elections; PSNC newsletters over Christmas.</w:t>
                        </w:r>
                      </w:p>
                      <w:p w14:paraId="514F14B3"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1F12A12">
                            <v:rect id="_x0000_i1033" style="width:468pt;height:1.5pt" o:hrstd="t" o:hr="t" fillcolor="#a0a0a0" stroked="f"/>
                          </w:pict>
                        </w:r>
                      </w:p>
                      <w:p w14:paraId="61D9F583" w14:textId="77777777" w:rsidR="000A6102" w:rsidRDefault="000A6102" w:rsidP="000A6102">
                        <w:pPr>
                          <w:pStyle w:val="Heading2"/>
                          <w:spacing w:after="0"/>
                          <w:rPr>
                            <w:rFonts w:eastAsia="Times New Roman"/>
                          </w:rPr>
                        </w:pPr>
                        <w:r>
                          <w:rPr>
                            <w:rFonts w:eastAsia="Times New Roman"/>
                          </w:rPr>
                          <w:t>Dispensing and Supply Updates</w:t>
                        </w:r>
                      </w:p>
                      <w:p w14:paraId="01AC7E4E" w14:textId="62898D5C" w:rsidR="000A6102" w:rsidRDefault="000A6102" w:rsidP="000A6102">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Update on supplies of antibiotics for Strep A treatments</w:t>
                        </w:r>
                        <w:r>
                          <w:rPr>
                            <w:rFonts w:ascii="Tahoma" w:eastAsia="Times New Roman" w:hAnsi="Tahoma" w:cs="Tahoma"/>
                            <w:color w:val="303030"/>
                            <w:sz w:val="21"/>
                            <w:szCs w:val="21"/>
                          </w:rPr>
                          <w:br/>
                          <w:t xml:space="preserve">We have today published an update for contractors regarding the supply situation for antibiotics and including links to some new support materials. </w:t>
                        </w:r>
                      </w:p>
                      <w:p w14:paraId="5200EB78" w14:textId="77777777" w:rsidR="000A6102" w:rsidRDefault="000A6102" w:rsidP="000A6102">
                        <w:pPr>
                          <w:spacing w:line="264" w:lineRule="auto"/>
                          <w:rPr>
                            <w:rFonts w:ascii="Tahoma" w:eastAsia="Times New Roman" w:hAnsi="Tahoma" w:cs="Tahoma"/>
                            <w:color w:val="303030"/>
                            <w:sz w:val="21"/>
                            <w:szCs w:val="21"/>
                          </w:rPr>
                        </w:pPr>
                      </w:p>
                      <w:p w14:paraId="51763666"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We remain in constant contact with the Department of Health and Social Care (DHSC). The supply and reimbursement situation </w:t>
                        </w:r>
                        <w:proofErr w:type="gramStart"/>
                        <w:r>
                          <w:rPr>
                            <w:rFonts w:ascii="Tahoma" w:hAnsi="Tahoma" w:cs="Tahoma"/>
                            <w:color w:val="303030"/>
                            <w:sz w:val="21"/>
                            <w:szCs w:val="21"/>
                          </w:rPr>
                          <w:t>is</w:t>
                        </w:r>
                        <w:proofErr w:type="gramEnd"/>
                        <w:r>
                          <w:rPr>
                            <w:rFonts w:ascii="Tahoma" w:hAnsi="Tahoma" w:cs="Tahoma"/>
                            <w:color w:val="303030"/>
                            <w:sz w:val="21"/>
                            <w:szCs w:val="21"/>
                          </w:rPr>
                          <w:t xml:space="preserve"> untenable for contractors with this current crisis being just the latest problem that pharmacies are unfairly having to grapple with. We are continuing to make clear and firm representations on this to Government – they have a duty to assure the supply of medicines and must find urgent solutions. </w:t>
                        </w:r>
                        <w:hyperlink r:id="rId9" w:tgtFrame="_blank" w:history="1">
                          <w:r>
                            <w:rPr>
                              <w:rStyle w:val="Hyperlink"/>
                              <w:rFonts w:ascii="Tahoma" w:hAnsi="Tahoma" w:cs="Tahoma"/>
                              <w:b/>
                              <w:bCs/>
                              <w:color w:val="4E3487"/>
                              <w:sz w:val="21"/>
                              <w:szCs w:val="21"/>
                            </w:rPr>
                            <w:t>Read the full update</w:t>
                          </w:r>
                        </w:hyperlink>
                        <w:r>
                          <w:rPr>
                            <w:rFonts w:ascii="Tahoma" w:hAnsi="Tahoma" w:cs="Tahoma"/>
                            <w:color w:val="303030"/>
                            <w:sz w:val="21"/>
                            <w:szCs w:val="21"/>
                          </w:rPr>
                          <w:t>.</w:t>
                        </w:r>
                      </w:p>
                      <w:p w14:paraId="71F1EC48" w14:textId="77777777" w:rsidR="000A6102" w:rsidRDefault="000A6102" w:rsidP="000A6102">
                        <w:pPr>
                          <w:spacing w:line="264" w:lineRule="auto"/>
                          <w:rPr>
                            <w:rStyle w:val="Strong"/>
                            <w:rFonts w:ascii="Tahoma" w:eastAsia="Times New Roman" w:hAnsi="Tahoma" w:cs="Tahoma"/>
                            <w:color w:val="303030"/>
                            <w:sz w:val="21"/>
                            <w:szCs w:val="21"/>
                          </w:rPr>
                        </w:pPr>
                      </w:p>
                      <w:p w14:paraId="3F11CC83" w14:textId="08564DC3" w:rsidR="000A6102" w:rsidRDefault="000A6102" w:rsidP="000A6102">
                        <w:pPr>
                          <w:spacing w:line="264" w:lineRule="auto"/>
                          <w:rPr>
                            <w:rFonts w:ascii="Tahoma" w:eastAsia="Times New Roman" w:hAnsi="Tahoma" w:cs="Tahoma"/>
                            <w:color w:val="303030"/>
                            <w:sz w:val="21"/>
                            <w:szCs w:val="21"/>
                          </w:rPr>
                        </w:pPr>
                        <w:r>
                          <w:rPr>
                            <w:rStyle w:val="Strong"/>
                            <w:rFonts w:ascii="Tahoma" w:eastAsia="Times New Roman" w:hAnsi="Tahoma" w:cs="Tahoma"/>
                            <w:color w:val="303030"/>
                            <w:sz w:val="21"/>
                            <w:szCs w:val="21"/>
                          </w:rPr>
                          <w:t>Updates to SSPs</w:t>
                        </w:r>
                        <w:r>
                          <w:rPr>
                            <w:rFonts w:ascii="Tahoma" w:eastAsia="Times New Roman" w:hAnsi="Tahoma" w:cs="Tahoma"/>
                            <w:color w:val="303030"/>
                            <w:sz w:val="21"/>
                            <w:szCs w:val="21"/>
                          </w:rPr>
                          <w:br/>
                          <w:t xml:space="preserve">Contractors should note the following updates made on 23rd December: </w:t>
                        </w:r>
                      </w:p>
                      <w:p w14:paraId="28DF85D3" w14:textId="77777777" w:rsidR="000A6102" w:rsidRDefault="000A6102" w:rsidP="000A6102">
                        <w:pPr>
                          <w:numPr>
                            <w:ilvl w:val="0"/>
                            <w:numId w:val="1"/>
                          </w:numPr>
                          <w:spacing w:line="264" w:lineRule="auto"/>
                          <w:rPr>
                            <w:rFonts w:ascii="Tahoma" w:eastAsia="Times New Roman" w:hAnsi="Tahoma" w:cs="Tahoma"/>
                            <w:color w:val="303030"/>
                            <w:sz w:val="21"/>
                            <w:szCs w:val="21"/>
                          </w:rPr>
                        </w:pPr>
                        <w:hyperlink r:id="rId10" w:tgtFrame="_blank" w:tooltip="https://www.nhsbsa.nhs.uk/pharmacies-gp-practices-and-appliance-contractors/serious-shortage-protocols-ssps" w:history="1">
                          <w:r>
                            <w:rPr>
                              <w:rStyle w:val="Strong"/>
                              <w:rFonts w:ascii="Tahoma" w:eastAsia="Times New Roman" w:hAnsi="Tahoma" w:cs="Tahoma"/>
                              <w:color w:val="4E3487"/>
                              <w:sz w:val="21"/>
                              <w:szCs w:val="21"/>
                            </w:rPr>
                            <w:t>SSP043 – SSP047</w:t>
                          </w:r>
                        </w:hyperlink>
                        <w:r>
                          <w:rPr>
                            <w:rFonts w:ascii="Tahoma" w:eastAsia="Times New Roman" w:hAnsi="Tahoma" w:cs="Tahoma"/>
                            <w:color w:val="303030"/>
                            <w:sz w:val="21"/>
                            <w:szCs w:val="21"/>
                          </w:rPr>
                          <w:t> have been amended to include oral Azithromycin as an alternative antibiotic to Penicillin V.</w:t>
                        </w:r>
                      </w:p>
                      <w:p w14:paraId="221DA707" w14:textId="77777777" w:rsidR="000A6102" w:rsidRDefault="000A6102" w:rsidP="000A6102">
                        <w:pPr>
                          <w:numPr>
                            <w:ilvl w:val="0"/>
                            <w:numId w:val="1"/>
                          </w:numPr>
                          <w:spacing w:line="264" w:lineRule="auto"/>
                          <w:rPr>
                            <w:rFonts w:ascii="Tahoma" w:eastAsia="Times New Roman" w:hAnsi="Tahoma" w:cs="Tahoma"/>
                            <w:color w:val="303030"/>
                            <w:sz w:val="21"/>
                            <w:szCs w:val="21"/>
                          </w:rPr>
                        </w:pPr>
                        <w:hyperlink r:id="rId11" w:tgtFrame="_blank" w:tooltip="https://www.nhsbsa.nhs.uk/pharmacies-gp-practices-and-appliance-contractors/serious-shortage-protocols-ssps" w:history="1">
                          <w:r>
                            <w:rPr>
                              <w:rStyle w:val="Strong"/>
                              <w:rFonts w:ascii="Tahoma" w:eastAsia="Times New Roman" w:hAnsi="Tahoma" w:cs="Tahoma"/>
                              <w:color w:val="4E3487"/>
                              <w:sz w:val="21"/>
                              <w:szCs w:val="21"/>
                            </w:rPr>
                            <w:t>SSP036</w:t>
                          </w:r>
                        </w:hyperlink>
                        <w:r>
                          <w:rPr>
                            <w:rFonts w:ascii="Tahoma" w:eastAsia="Times New Roman" w:hAnsi="Tahoma" w:cs="Tahoma"/>
                            <w:color w:val="303030"/>
                            <w:sz w:val="21"/>
                            <w:szCs w:val="21"/>
                          </w:rPr>
                          <w:t> for Estraderm MX® 100mcg patches has been reactivated and is now set to expire on 13th January 2023. This SSP allows pharmacists to supply </w:t>
                        </w:r>
                        <w:proofErr w:type="spellStart"/>
                        <w:r>
                          <w:rPr>
                            <w:rFonts w:ascii="Tahoma" w:eastAsia="Times New Roman" w:hAnsi="Tahoma" w:cs="Tahoma"/>
                            <w:color w:val="303030"/>
                            <w:sz w:val="21"/>
                            <w:szCs w:val="21"/>
                          </w:rPr>
                          <w:t>Evorel</w:t>
                        </w:r>
                        <w:proofErr w:type="spellEnd"/>
                        <w:r>
                          <w:rPr>
                            <w:rFonts w:ascii="Tahoma" w:eastAsia="Times New Roman" w:hAnsi="Tahoma" w:cs="Tahoma"/>
                            <w:color w:val="303030"/>
                            <w:sz w:val="21"/>
                            <w:szCs w:val="21"/>
                          </w:rPr>
                          <w:t>® 100mcg patches instead of Estraderm MX® 100mcg patches.</w:t>
                        </w:r>
                      </w:p>
                      <w:p w14:paraId="669D73EF" w14:textId="77777777" w:rsidR="000A6102" w:rsidRDefault="000A6102" w:rsidP="000A6102">
                        <w:pPr>
                          <w:numPr>
                            <w:ilvl w:val="0"/>
                            <w:numId w:val="1"/>
                          </w:numPr>
                          <w:spacing w:line="264" w:lineRule="auto"/>
                          <w:rPr>
                            <w:rFonts w:ascii="Tahoma" w:eastAsia="Times New Roman" w:hAnsi="Tahoma" w:cs="Tahoma"/>
                            <w:color w:val="303030"/>
                            <w:sz w:val="21"/>
                            <w:szCs w:val="21"/>
                          </w:rPr>
                        </w:pPr>
                        <w:hyperlink r:id="rId12" w:tgtFrame="_blank" w:tooltip="https://www.nhsbsa.nhs.uk/pharmacies-gp-practices-and-appliance-contractors/serious-shortage-protocols-ssps" w:history="1">
                          <w:r>
                            <w:rPr>
                              <w:rStyle w:val="Hyperlink"/>
                              <w:rFonts w:ascii="Tahoma" w:eastAsia="Times New Roman" w:hAnsi="Tahoma" w:cs="Tahoma"/>
                              <w:b/>
                              <w:bCs/>
                              <w:color w:val="4E3487"/>
                              <w:sz w:val="21"/>
                              <w:szCs w:val="21"/>
                            </w:rPr>
                            <w:t>SSP039</w:t>
                          </w:r>
                        </w:hyperlink>
                        <w:r>
                          <w:rPr>
                            <w:rStyle w:val="Strong"/>
                            <w:rFonts w:ascii="Tahoma" w:eastAsia="Times New Roman" w:hAnsi="Tahoma" w:cs="Tahoma"/>
                            <w:color w:val="303030"/>
                            <w:sz w:val="21"/>
                            <w:szCs w:val="21"/>
                          </w:rPr>
                          <w:t> </w:t>
                        </w:r>
                        <w:r>
                          <w:rPr>
                            <w:rFonts w:ascii="Tahoma" w:eastAsia="Times New Roman" w:hAnsi="Tahoma" w:cs="Tahoma"/>
                            <w:color w:val="303030"/>
                            <w:sz w:val="21"/>
                            <w:szCs w:val="21"/>
                          </w:rPr>
                          <w:t>for Lipitor® 20mg chewable tablets has been extended to 3rd February 2023.</w:t>
                        </w:r>
                      </w:p>
                      <w:p w14:paraId="3B68C409"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p>
                      <w:p w14:paraId="41758119" w14:textId="0B8D00EA" w:rsidR="000A6102" w:rsidRDefault="000A6102" w:rsidP="000A6102">
                        <w:pPr>
                          <w:pStyle w:val="NormalWeb"/>
                          <w:spacing w:before="0" w:beforeAutospacing="0" w:after="0" w:afterAutospacing="0" w:line="264" w:lineRule="auto"/>
                          <w:rPr>
                            <w:rFonts w:ascii="Tahoma" w:hAnsi="Tahoma" w:cs="Tahoma"/>
                            <w:color w:val="303030"/>
                            <w:sz w:val="21"/>
                            <w:szCs w:val="21"/>
                          </w:rPr>
                        </w:pPr>
                        <w:hyperlink r:id="rId13" w:tgtFrame="_blank" w:history="1">
                          <w:r>
                            <w:rPr>
                              <w:rStyle w:val="Strong"/>
                              <w:rFonts w:ascii="Tahoma" w:hAnsi="Tahoma" w:cs="Tahoma"/>
                              <w:color w:val="4E3487"/>
                              <w:sz w:val="21"/>
                              <w:szCs w:val="21"/>
                            </w:rPr>
                            <w:t>Read more on the SSP updates from 23rd December</w:t>
                          </w:r>
                        </w:hyperlink>
                      </w:p>
                      <w:p w14:paraId="4303E2E4" w14:textId="77777777" w:rsidR="000A6102" w:rsidRDefault="000A6102" w:rsidP="000A6102">
                        <w:pPr>
                          <w:spacing w:line="264" w:lineRule="auto"/>
                          <w:rPr>
                            <w:rStyle w:val="Strong"/>
                            <w:rFonts w:ascii="Tahoma" w:eastAsia="Times New Roman" w:hAnsi="Tahoma" w:cs="Tahoma"/>
                            <w:color w:val="303030"/>
                            <w:sz w:val="21"/>
                            <w:szCs w:val="21"/>
                          </w:rPr>
                        </w:pPr>
                      </w:p>
                      <w:p w14:paraId="53E67DCA" w14:textId="3D355B7F" w:rsidR="000A6102" w:rsidRDefault="000A6102" w:rsidP="000A6102">
                        <w:pPr>
                          <w:spacing w:line="264" w:lineRule="auto"/>
                          <w:rPr>
                            <w:rFonts w:ascii="Tahoma" w:eastAsia="Times New Roman" w:hAnsi="Tahoma" w:cs="Tahoma"/>
                            <w:color w:val="303030"/>
                            <w:sz w:val="21"/>
                            <w:szCs w:val="21"/>
                          </w:rPr>
                        </w:pPr>
                        <w:hyperlink r:id="rId14" w:history="1">
                          <w:r>
                            <w:rPr>
                              <w:rStyle w:val="Hyperlink"/>
                              <w:rFonts w:ascii="Tahoma" w:eastAsia="Times New Roman" w:hAnsi="Tahoma" w:cs="Tahoma"/>
                              <w:b/>
                              <w:bCs/>
                              <w:color w:val="4E3487"/>
                              <w:sz w:val="21"/>
                              <w:szCs w:val="21"/>
                            </w:rPr>
                            <w:t>Read our guidance on the points to consider when using SSPs for Penicillin V</w:t>
                          </w:r>
                        </w:hyperlink>
                        <w:r>
                          <w:rPr>
                            <w:rFonts w:ascii="Tahoma" w:eastAsia="Times New Roman" w:hAnsi="Tahoma" w:cs="Tahoma"/>
                            <w:color w:val="303030"/>
                            <w:sz w:val="21"/>
                            <w:szCs w:val="21"/>
                          </w:rPr>
                          <w:br/>
                        </w:r>
                        <w:r>
                          <w:rPr>
                            <w:rFonts w:ascii="Tahoma" w:eastAsia="Times New Roman" w:hAnsi="Tahoma" w:cs="Tahoma"/>
                            <w:color w:val="303030"/>
                            <w:sz w:val="21"/>
                            <w:szCs w:val="21"/>
                          </w:rPr>
                          <w:br/>
                        </w:r>
                        <w:r>
                          <w:rPr>
                            <w:rStyle w:val="Strong"/>
                            <w:rFonts w:ascii="Tahoma" w:eastAsia="Times New Roman" w:hAnsi="Tahoma" w:cs="Tahoma"/>
                            <w:color w:val="303030"/>
                            <w:sz w:val="21"/>
                            <w:szCs w:val="21"/>
                          </w:rPr>
                          <w:t>December 2022 Price Concessions: Fourth Update</w:t>
                        </w:r>
                        <w:r>
                          <w:rPr>
                            <w:rFonts w:ascii="Tahoma" w:eastAsia="Times New Roman" w:hAnsi="Tahoma" w:cs="Tahoma"/>
                            <w:color w:val="303030"/>
                            <w:sz w:val="21"/>
                            <w:szCs w:val="21"/>
                          </w:rPr>
                          <w:br/>
                          <w:t xml:space="preserve">DHSC has granted an updated list of price concessions for December 2022. </w:t>
                        </w:r>
                        <w:hyperlink r:id="rId15" w:tgtFrame="_blank" w:history="1">
                          <w:r>
                            <w:rPr>
                              <w:rStyle w:val="Hyperlink"/>
                              <w:rFonts w:ascii="Tahoma" w:eastAsia="Times New Roman" w:hAnsi="Tahoma" w:cs="Tahoma"/>
                              <w:b/>
                              <w:bCs/>
                              <w:color w:val="4E3487"/>
                              <w:sz w:val="21"/>
                              <w:szCs w:val="21"/>
                            </w:rPr>
                            <w:t>See the updated price concessions list</w:t>
                          </w:r>
                        </w:hyperlink>
                        <w:r>
                          <w:rPr>
                            <w:rFonts w:ascii="Tahoma" w:eastAsia="Times New Roman" w:hAnsi="Tahoma" w:cs="Tahoma"/>
                            <w:color w:val="303030"/>
                            <w:sz w:val="21"/>
                            <w:szCs w:val="21"/>
                          </w:rPr>
                          <w:t xml:space="preserve">. </w:t>
                        </w:r>
                      </w:p>
                      <w:p w14:paraId="1F11DE61" w14:textId="77777777" w:rsidR="000A6102" w:rsidRDefault="000A6102" w:rsidP="000A6102">
                        <w:pPr>
                          <w:spacing w:line="264" w:lineRule="auto"/>
                          <w:rPr>
                            <w:rFonts w:ascii="Tahoma" w:eastAsia="Times New Roman" w:hAnsi="Tahoma" w:cs="Tahoma"/>
                            <w:color w:val="303030"/>
                            <w:sz w:val="21"/>
                            <w:szCs w:val="21"/>
                          </w:rPr>
                        </w:pPr>
                      </w:p>
                      <w:p w14:paraId="4C7482D4" w14:textId="072410CF" w:rsidR="000A6102" w:rsidRDefault="000A6102" w:rsidP="000A6102">
                        <w:pPr>
                          <w:pStyle w:val="NormalWeb"/>
                          <w:spacing w:before="0" w:beforeAutospacing="0" w:after="0" w:afterAutospacing="0" w:line="264" w:lineRule="auto"/>
                          <w:rPr>
                            <w:rFonts w:ascii="Tahoma" w:hAnsi="Tahoma" w:cs="Tahoma"/>
                            <w:color w:val="303030"/>
                            <w:sz w:val="21"/>
                            <w:szCs w:val="21"/>
                          </w:rPr>
                        </w:pPr>
                        <w:r>
                          <w:rPr>
                            <w:rStyle w:val="Strong"/>
                            <w:rFonts w:ascii="Arial" w:hAnsi="Arial" w:cs="Arial"/>
                            <w:color w:val="303030"/>
                            <w:sz w:val="21"/>
                            <w:szCs w:val="21"/>
                          </w:rPr>
                          <w:t>P</w:t>
                        </w:r>
                        <w:r>
                          <w:rPr>
                            <w:rStyle w:val="Strong"/>
                            <w:rFonts w:ascii="Tahoma" w:hAnsi="Tahoma" w:cs="Tahoma"/>
                            <w:color w:val="303030"/>
                            <w:sz w:val="21"/>
                            <w:szCs w:val="21"/>
                          </w:rPr>
                          <w:t xml:space="preserve">roblems accessing October 2022 </w:t>
                        </w:r>
                        <w:proofErr w:type="gramStart"/>
                        <w:r>
                          <w:rPr>
                            <w:rStyle w:val="Strong"/>
                            <w:rFonts w:ascii="Tahoma" w:hAnsi="Tahoma" w:cs="Tahoma"/>
                            <w:color w:val="303030"/>
                            <w:sz w:val="21"/>
                            <w:szCs w:val="21"/>
                          </w:rPr>
                          <w:t>referred back</w:t>
                        </w:r>
                        <w:proofErr w:type="gramEnd"/>
                        <w:r>
                          <w:rPr>
                            <w:rStyle w:val="Strong"/>
                            <w:rFonts w:ascii="Tahoma" w:hAnsi="Tahoma" w:cs="Tahoma"/>
                            <w:color w:val="303030"/>
                            <w:sz w:val="21"/>
                            <w:szCs w:val="21"/>
                          </w:rPr>
                          <w:t xml:space="preserve"> paper prescriptions via MYS</w:t>
                        </w:r>
                        <w:r>
                          <w:rPr>
                            <w:rFonts w:ascii="Tahoma" w:hAnsi="Tahoma" w:cs="Tahoma"/>
                            <w:color w:val="303030"/>
                            <w:sz w:val="21"/>
                            <w:szCs w:val="21"/>
                          </w:rPr>
                          <w:br/>
                          <w:t xml:space="preserve">The NHS Business Services Authority (NHSBSA) has notified PSNC that Manage Your Service (MYS) users are currently unable to access images for referred back paper prescriptions </w:t>
                        </w:r>
                        <w:r>
                          <w:rPr>
                            <w:rFonts w:ascii="Tahoma" w:hAnsi="Tahoma" w:cs="Tahoma"/>
                            <w:color w:val="303030"/>
                            <w:sz w:val="21"/>
                            <w:szCs w:val="21"/>
                          </w:rPr>
                          <w:lastRenderedPageBreak/>
                          <w:t>relating to the October 2022 dispensing month. The NHSBSA apologises for any inconvenience and is working to resolve this as soon as possible. The </w:t>
                        </w:r>
                        <w:hyperlink r:id="rId16" w:tgtFrame="_blank" w:history="1">
                          <w:r>
                            <w:rPr>
                              <w:rStyle w:val="Hyperlink"/>
                              <w:rFonts w:ascii="Tahoma" w:hAnsi="Tahoma" w:cs="Tahoma"/>
                              <w:b/>
                              <w:bCs/>
                              <w:color w:val="4E3487"/>
                              <w:sz w:val="21"/>
                              <w:szCs w:val="21"/>
                            </w:rPr>
                            <w:t>MYS webpage</w:t>
                          </w:r>
                        </w:hyperlink>
                        <w:r>
                          <w:rPr>
                            <w:rFonts w:ascii="Tahoma" w:hAnsi="Tahoma" w:cs="Tahoma"/>
                            <w:color w:val="303030"/>
                            <w:sz w:val="21"/>
                            <w:szCs w:val="21"/>
                          </w:rPr>
                          <w:t> will be updated as soon as the October 2022 images are available.</w:t>
                        </w:r>
                      </w:p>
                      <w:p w14:paraId="0DA58FB9"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p>
                      <w:p w14:paraId="2CCBCDB1"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It is important to note that prescription returns via MYS are held in the system for a period of 18 months from the date they are first sent to the pharmacy for action. As soon as the images become available on the system, pharmacy contractors can add in the required information and return the </w:t>
                        </w:r>
                        <w:proofErr w:type="gramStart"/>
                        <w:r>
                          <w:rPr>
                            <w:rFonts w:ascii="Tahoma" w:hAnsi="Tahoma" w:cs="Tahoma"/>
                            <w:color w:val="303030"/>
                            <w:sz w:val="21"/>
                            <w:szCs w:val="21"/>
                          </w:rPr>
                          <w:t>referred back</w:t>
                        </w:r>
                        <w:proofErr w:type="gramEnd"/>
                        <w:r>
                          <w:rPr>
                            <w:rFonts w:ascii="Tahoma" w:hAnsi="Tahoma" w:cs="Tahoma"/>
                            <w:color w:val="303030"/>
                            <w:sz w:val="21"/>
                            <w:szCs w:val="21"/>
                          </w:rPr>
                          <w:t xml:space="preserve"> prescription to the NHSBSA for payment. </w:t>
                        </w:r>
                        <w:r>
                          <w:rPr>
                            <w:rFonts w:ascii="Tahoma" w:hAnsi="Tahoma" w:cs="Tahoma"/>
                            <w:color w:val="303030"/>
                            <w:sz w:val="21"/>
                            <w:szCs w:val="21"/>
                          </w:rPr>
                          <w:br/>
                        </w:r>
                        <w:r>
                          <w:rPr>
                            <w:rFonts w:ascii="Tahoma" w:hAnsi="Tahoma" w:cs="Tahoma"/>
                            <w:color w:val="303030"/>
                            <w:sz w:val="21"/>
                            <w:szCs w:val="21"/>
                          </w:rPr>
                          <w:br/>
                        </w:r>
                        <w:r>
                          <w:rPr>
                            <w:rStyle w:val="Strong"/>
                            <w:rFonts w:ascii="Tahoma" w:hAnsi="Tahoma" w:cs="Tahoma"/>
                            <w:color w:val="303030"/>
                            <w:sz w:val="21"/>
                            <w:szCs w:val="21"/>
                          </w:rPr>
                          <w:t>New Medicine Supply Notices</w:t>
                        </w:r>
                        <w:r>
                          <w:rPr>
                            <w:rFonts w:ascii="Tahoma" w:hAnsi="Tahoma" w:cs="Tahoma"/>
                            <w:color w:val="303030"/>
                            <w:sz w:val="21"/>
                            <w:szCs w:val="21"/>
                          </w:rPr>
                          <w:br/>
                          <w:t>DHSC has issued a medicine supply notification for the following products:</w:t>
                        </w:r>
                      </w:p>
                      <w:p w14:paraId="219ECE81" w14:textId="77777777" w:rsidR="000A6102" w:rsidRDefault="000A6102" w:rsidP="000A6102">
                        <w:pPr>
                          <w:numPr>
                            <w:ilvl w:val="0"/>
                            <w:numId w:val="2"/>
                          </w:numPr>
                          <w:spacing w:line="264" w:lineRule="auto"/>
                          <w:rPr>
                            <w:rFonts w:ascii="Tahoma" w:eastAsia="Times New Roman" w:hAnsi="Tahoma" w:cs="Tahoma"/>
                            <w:color w:val="303030"/>
                            <w:sz w:val="21"/>
                            <w:szCs w:val="21"/>
                          </w:rPr>
                        </w:pPr>
                        <w:hyperlink r:id="rId17" w:tgtFrame="_blank" w:history="1">
                          <w:proofErr w:type="spellStart"/>
                          <w:r>
                            <w:rPr>
                              <w:rStyle w:val="Hyperlink"/>
                              <w:rFonts w:ascii="Tahoma" w:eastAsia="Times New Roman" w:hAnsi="Tahoma" w:cs="Tahoma"/>
                              <w:b/>
                              <w:bCs/>
                              <w:color w:val="4E3487"/>
                              <w:sz w:val="21"/>
                              <w:szCs w:val="21"/>
                            </w:rPr>
                            <w:t>Dalteparin</w:t>
                          </w:r>
                          <w:proofErr w:type="spellEnd"/>
                          <w:r>
                            <w:rPr>
                              <w:rStyle w:val="Hyperlink"/>
                              <w:rFonts w:ascii="Tahoma" w:eastAsia="Times New Roman" w:hAnsi="Tahoma" w:cs="Tahoma"/>
                              <w:b/>
                              <w:bCs/>
                              <w:color w:val="4E3487"/>
                              <w:sz w:val="21"/>
                              <w:szCs w:val="21"/>
                            </w:rPr>
                            <w:t xml:space="preserve"> (</w:t>
                          </w:r>
                          <w:proofErr w:type="spellStart"/>
                          <w:r>
                            <w:rPr>
                              <w:rStyle w:val="Hyperlink"/>
                              <w:rFonts w:ascii="Tahoma" w:eastAsia="Times New Roman" w:hAnsi="Tahoma" w:cs="Tahoma"/>
                              <w:b/>
                              <w:bCs/>
                              <w:color w:val="4E3487"/>
                              <w:sz w:val="21"/>
                              <w:szCs w:val="21"/>
                            </w:rPr>
                            <w:t>Fragmin</w:t>
                          </w:r>
                          <w:proofErr w:type="spellEnd"/>
                          <w:r>
                            <w:rPr>
                              <w:rStyle w:val="Hyperlink"/>
                              <w:rFonts w:ascii="Tahoma" w:eastAsia="Times New Roman" w:hAnsi="Tahoma" w:cs="Tahoma"/>
                              <w:b/>
                              <w:bCs/>
                              <w:color w:val="4E3487"/>
                              <w:sz w:val="21"/>
                              <w:szCs w:val="21"/>
                            </w:rPr>
                            <w:t>®) 10,000units/1mL solution for injection ampoule</w:t>
                          </w:r>
                        </w:hyperlink>
                      </w:p>
                      <w:p w14:paraId="6464DE1D" w14:textId="77777777" w:rsidR="000A6102" w:rsidRDefault="000A6102" w:rsidP="000A6102">
                        <w:pPr>
                          <w:numPr>
                            <w:ilvl w:val="0"/>
                            <w:numId w:val="2"/>
                          </w:numPr>
                          <w:spacing w:line="264" w:lineRule="auto"/>
                          <w:rPr>
                            <w:rFonts w:ascii="Tahoma" w:eastAsia="Times New Roman" w:hAnsi="Tahoma" w:cs="Tahoma"/>
                            <w:color w:val="303030"/>
                            <w:sz w:val="21"/>
                            <w:szCs w:val="21"/>
                          </w:rPr>
                        </w:pPr>
                        <w:hyperlink r:id="rId18" w:tgtFrame="_blank" w:history="1">
                          <w:r>
                            <w:rPr>
                              <w:rStyle w:val="Hyperlink"/>
                              <w:rFonts w:ascii="Tahoma" w:eastAsia="Times New Roman" w:hAnsi="Tahoma" w:cs="Tahoma"/>
                              <w:b/>
                              <w:bCs/>
                              <w:color w:val="4E3487"/>
                              <w:sz w:val="21"/>
                              <w:szCs w:val="21"/>
                            </w:rPr>
                            <w:t>Fluticasone 50mcg/Salmeterol 25mcg (</w:t>
                          </w:r>
                          <w:proofErr w:type="spellStart"/>
                          <w:r>
                            <w:rPr>
                              <w:rStyle w:val="Hyperlink"/>
                              <w:rFonts w:ascii="Tahoma" w:eastAsia="Times New Roman" w:hAnsi="Tahoma" w:cs="Tahoma"/>
                              <w:b/>
                              <w:bCs/>
                              <w:color w:val="4E3487"/>
                              <w:sz w:val="21"/>
                              <w:szCs w:val="21"/>
                            </w:rPr>
                            <w:t>Combisal</w:t>
                          </w:r>
                          <w:proofErr w:type="spellEnd"/>
                          <w:r>
                            <w:rPr>
                              <w:rStyle w:val="Hyperlink"/>
                              <w:rFonts w:ascii="Tahoma" w:eastAsia="Times New Roman" w:hAnsi="Tahoma" w:cs="Tahoma"/>
                              <w:b/>
                              <w:bCs/>
                              <w:color w:val="4E3487"/>
                              <w:sz w:val="21"/>
                              <w:szCs w:val="21"/>
                            </w:rPr>
                            <w:t>®) pressurised metered dose inhaler</w:t>
                          </w:r>
                        </w:hyperlink>
                      </w:p>
                      <w:p w14:paraId="0CA9E1AB" w14:textId="77777777" w:rsidR="000A6102" w:rsidRDefault="000A6102" w:rsidP="000A6102">
                        <w:pPr>
                          <w:numPr>
                            <w:ilvl w:val="0"/>
                            <w:numId w:val="2"/>
                          </w:numPr>
                          <w:spacing w:line="264" w:lineRule="auto"/>
                          <w:rPr>
                            <w:rFonts w:ascii="Tahoma" w:eastAsia="Times New Roman" w:hAnsi="Tahoma" w:cs="Tahoma"/>
                            <w:color w:val="303030"/>
                            <w:sz w:val="21"/>
                            <w:szCs w:val="21"/>
                          </w:rPr>
                        </w:pPr>
                        <w:hyperlink r:id="rId19" w:tgtFrame="_blank" w:history="1">
                          <w:r>
                            <w:rPr>
                              <w:rStyle w:val="Hyperlink"/>
                              <w:rFonts w:ascii="Tahoma" w:eastAsia="Times New Roman" w:hAnsi="Tahoma" w:cs="Tahoma"/>
                              <w:b/>
                              <w:bCs/>
                              <w:color w:val="4E3487"/>
                              <w:sz w:val="21"/>
                              <w:szCs w:val="21"/>
                            </w:rPr>
                            <w:t>Pilocarpine hydrochloride 4% eye drops</w:t>
                          </w:r>
                        </w:hyperlink>
                      </w:p>
                      <w:p w14:paraId="6C431C82" w14:textId="77777777" w:rsidR="000A6102" w:rsidRDefault="000A6102" w:rsidP="000A6102">
                        <w:pPr>
                          <w:numPr>
                            <w:ilvl w:val="0"/>
                            <w:numId w:val="2"/>
                          </w:numPr>
                          <w:spacing w:line="264" w:lineRule="auto"/>
                          <w:rPr>
                            <w:rFonts w:ascii="Tahoma" w:eastAsia="Times New Roman" w:hAnsi="Tahoma" w:cs="Tahoma"/>
                            <w:color w:val="303030"/>
                            <w:sz w:val="21"/>
                            <w:szCs w:val="21"/>
                          </w:rPr>
                        </w:pPr>
                        <w:hyperlink r:id="rId20" w:tgtFrame="_blank" w:history="1">
                          <w:r>
                            <w:rPr>
                              <w:rStyle w:val="Hyperlink"/>
                              <w:rFonts w:ascii="Tahoma" w:eastAsia="Times New Roman" w:hAnsi="Tahoma" w:cs="Tahoma"/>
                              <w:b/>
                              <w:bCs/>
                              <w:color w:val="4E3487"/>
                              <w:sz w:val="21"/>
                              <w:szCs w:val="21"/>
                            </w:rPr>
                            <w:t>Sulfasalazine 250mg in 5ml oral suspension sugar free</w:t>
                          </w:r>
                        </w:hyperlink>
                      </w:p>
                      <w:p w14:paraId="65A99AB0"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3BE7B6ED">
                            <v:rect id="_x0000_i1034" style="width:468pt;height:1.5pt" o:hrstd="t" o:hr="t" fillcolor="#a0a0a0" stroked="f"/>
                          </w:pict>
                        </w:r>
                      </w:p>
                      <w:p w14:paraId="36A04EB2" w14:textId="77777777" w:rsidR="000A6102" w:rsidRDefault="000A6102" w:rsidP="000A6102">
                        <w:pPr>
                          <w:pStyle w:val="Heading2"/>
                          <w:spacing w:after="0"/>
                          <w:rPr>
                            <w:rFonts w:eastAsia="Times New Roman"/>
                          </w:rPr>
                        </w:pPr>
                        <w:r>
                          <w:rPr>
                            <w:rFonts w:eastAsia="Times New Roman"/>
                          </w:rPr>
                          <w:t>Pharmacy leaders join forces to write to the Secretary of State</w:t>
                        </w:r>
                      </w:p>
                      <w:p w14:paraId="3EF7C6B3"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PSNC and the other community pharmacy national representative bodies, along with the four largest pharmacy chains in England, have jointly written to the Secretary of State for Health, Rt Hon Steve Barclay MP, warning that the sector needs urgent investment.</w:t>
                        </w:r>
                        <w:r>
                          <w:rPr>
                            <w:rFonts w:ascii="Tahoma" w:eastAsia="Times New Roman" w:hAnsi="Tahoma" w:cs="Tahoma"/>
                            <w:color w:val="303030"/>
                            <w:sz w:val="21"/>
                            <w:szCs w:val="21"/>
                          </w:rPr>
                          <w:br/>
                        </w:r>
                        <w:r>
                          <w:rPr>
                            <w:rFonts w:ascii="Tahoma" w:eastAsia="Times New Roman" w:hAnsi="Tahoma" w:cs="Tahoma"/>
                            <w:color w:val="303030"/>
                            <w:sz w:val="21"/>
                            <w:szCs w:val="21"/>
                          </w:rPr>
                          <w:br/>
                          <w:t>The letter was covered in the </w:t>
                        </w:r>
                        <w:hyperlink r:id="rId21" w:history="1">
                          <w:r>
                            <w:rPr>
                              <w:rStyle w:val="Hyperlink"/>
                              <w:rFonts w:ascii="Tahoma" w:eastAsia="Times New Roman" w:hAnsi="Tahoma" w:cs="Tahoma"/>
                              <w:b/>
                              <w:bCs/>
                              <w:color w:val="4E3487"/>
                              <w:sz w:val="21"/>
                              <w:szCs w:val="21"/>
                            </w:rPr>
                            <w:t>Telegraph</w:t>
                          </w:r>
                        </w:hyperlink>
                        <w:r>
                          <w:rPr>
                            <w:rFonts w:ascii="Tahoma" w:eastAsia="Times New Roman" w:hAnsi="Tahoma" w:cs="Tahoma"/>
                            <w:color w:val="303030"/>
                            <w:sz w:val="21"/>
                            <w:szCs w:val="21"/>
                          </w:rPr>
                          <w:t> and the </w:t>
                        </w:r>
                        <w:hyperlink r:id="rId22" w:history="1">
                          <w:r>
                            <w:rPr>
                              <w:rStyle w:val="Hyperlink"/>
                              <w:rFonts w:ascii="Tahoma" w:eastAsia="Times New Roman" w:hAnsi="Tahoma" w:cs="Tahoma"/>
                              <w:b/>
                              <w:bCs/>
                              <w:color w:val="4E3487"/>
                              <w:sz w:val="21"/>
                              <w:szCs w:val="21"/>
                            </w:rPr>
                            <w:t>Times</w:t>
                          </w:r>
                        </w:hyperlink>
                        <w:r>
                          <w:rPr>
                            <w:rFonts w:ascii="Tahoma" w:eastAsia="Times New Roman" w:hAnsi="Tahoma" w:cs="Tahoma"/>
                            <w:color w:val="303030"/>
                            <w:sz w:val="21"/>
                            <w:szCs w:val="21"/>
                          </w:rPr>
                          <w:t> today, with PSNC's CEO, Janet Morrison being in quoted in both articles as saying that “without urgent action, we believe temporary closures of pharmacies will turn into permanent ones and that the next healthcare crisis will be the inability of some patients to access their prescription medicines.”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23" w:tgtFrame="_blank" w:history="1">
                          <w:r>
                            <w:rPr>
                              <w:rStyle w:val="Hyperlink"/>
                              <w:rFonts w:ascii="Tahoma" w:eastAsia="Times New Roman" w:hAnsi="Tahoma" w:cs="Tahoma"/>
                              <w:b/>
                              <w:bCs/>
                              <w:color w:val="4E3487"/>
                              <w:sz w:val="21"/>
                              <w:szCs w:val="21"/>
                            </w:rPr>
                            <w:t>Find out more</w:t>
                          </w:r>
                        </w:hyperlink>
                        <w:r>
                          <w:rPr>
                            <w:rFonts w:ascii="Tahoma" w:eastAsia="Times New Roman" w:hAnsi="Tahoma" w:cs="Tahoma"/>
                            <w:color w:val="303030"/>
                            <w:sz w:val="21"/>
                            <w:szCs w:val="21"/>
                          </w:rPr>
                          <w:t xml:space="preserve"> </w:t>
                        </w:r>
                      </w:p>
                      <w:p w14:paraId="428E982B"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3617964">
                            <v:rect id="_x0000_i1035" style="width:468pt;height:1.5pt" o:hrstd="t" o:hr="t" fillcolor="#a0a0a0" stroked="f"/>
                          </w:pict>
                        </w:r>
                      </w:p>
                      <w:p w14:paraId="73708CF9" w14:textId="77777777" w:rsidR="000A6102" w:rsidRDefault="000A6102" w:rsidP="000A6102">
                        <w:pPr>
                          <w:pStyle w:val="Heading2"/>
                          <w:spacing w:after="0"/>
                          <w:rPr>
                            <w:rFonts w:eastAsia="Times New Roman"/>
                          </w:rPr>
                        </w:pPr>
                        <w:r>
                          <w:rPr>
                            <w:rFonts w:eastAsia="Times New Roman"/>
                          </w:rPr>
                          <w:t>PSNC election cycle begins in January 2023</w:t>
                        </w:r>
                      </w:p>
                      <w:p w14:paraId="3FDD271D"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In the New Year, PSNC will start its election cycle for the new committee of PSNC, to be known as Community Pharmacy England (CPE). This Committee will take up post from 1st April 2023. The new PSNC/CPE committee will have a smaller number of members, 24 in total, including 10 Independent pharmacy contractors elected by the PSNC regions in England (the Regional Representatives) and 3 non-CCA Independent Multiple representatives elected nationally.</w:t>
                        </w:r>
                        <w:r>
                          <w:rPr>
                            <w:rFonts w:ascii="Tahoma" w:eastAsia="Times New Roman" w:hAnsi="Tahoma" w:cs="Tahoma"/>
                            <w:color w:val="303030"/>
                            <w:sz w:val="21"/>
                            <w:szCs w:val="21"/>
                          </w:rPr>
                          <w:br/>
                        </w:r>
                        <w:r>
                          <w:rPr>
                            <w:rFonts w:ascii="Tahoma" w:eastAsia="Times New Roman" w:hAnsi="Tahoma" w:cs="Tahoma"/>
                            <w:color w:val="303030"/>
                            <w:sz w:val="21"/>
                            <w:szCs w:val="21"/>
                          </w:rPr>
                          <w:br/>
                          <w:t>To support those considering standing for election, we have published detailed guidance setting out the election process and the actions required from those seeking to stand. We have published this information now to allow those considering whether to be candidates in either election, to be able to consider this over the Christmas and New Year period.</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24" w:tgtFrame="_blank" w:history="1">
                          <w:r>
                            <w:rPr>
                              <w:rStyle w:val="Hyperlink"/>
                              <w:rFonts w:ascii="Tahoma" w:eastAsia="Times New Roman" w:hAnsi="Tahoma" w:cs="Tahoma"/>
                              <w:b/>
                              <w:bCs/>
                              <w:color w:val="4E3487"/>
                              <w:sz w:val="21"/>
                              <w:szCs w:val="21"/>
                            </w:rPr>
                            <w:t>Read the election guidance</w:t>
                          </w:r>
                        </w:hyperlink>
                        <w:r>
                          <w:rPr>
                            <w:rFonts w:ascii="Tahoma" w:eastAsia="Times New Roman" w:hAnsi="Tahoma" w:cs="Tahoma"/>
                            <w:color w:val="303030"/>
                            <w:sz w:val="21"/>
                            <w:szCs w:val="21"/>
                          </w:rPr>
                          <w:t xml:space="preserve"> </w:t>
                        </w:r>
                      </w:p>
                      <w:p w14:paraId="22326AB7"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D7ABC43">
                            <v:rect id="_x0000_i1036" style="width:468pt;height:1.5pt" o:hrstd="t" o:hr="t" fillcolor="#a0a0a0" stroked="f"/>
                          </w:pict>
                        </w:r>
                      </w:p>
                      <w:p w14:paraId="0334A688" w14:textId="77777777" w:rsidR="000A6102" w:rsidRDefault="000A6102" w:rsidP="000A6102">
                        <w:pPr>
                          <w:pStyle w:val="Heading2"/>
                          <w:spacing w:after="0"/>
                          <w:rPr>
                            <w:rFonts w:eastAsia="Times New Roman"/>
                          </w:rPr>
                        </w:pPr>
                        <w:r>
                          <w:rPr>
                            <w:rFonts w:eastAsia="Times New Roman"/>
                          </w:rPr>
                          <w:t>PSNC Newsletters: Christmas and New Year Schedule</w:t>
                        </w:r>
                      </w:p>
                      <w:p w14:paraId="15E55DCA" w14:textId="77777777" w:rsidR="000A6102" w:rsidRDefault="000A6102" w:rsidP="000A6102">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To help contactors and pharmacy teams stay up to date over the Christmas and New Year period we are planning to send email newsletters out on the following days: </w:t>
                        </w:r>
                      </w:p>
                      <w:p w14:paraId="1B4BD293" w14:textId="77777777" w:rsidR="000A6102" w:rsidRDefault="000A6102" w:rsidP="000A6102">
                        <w:pPr>
                          <w:numPr>
                            <w:ilvl w:val="0"/>
                            <w:numId w:val="3"/>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lastRenderedPageBreak/>
                          <w:t>Wednesday 28th December</w:t>
                        </w:r>
                      </w:p>
                      <w:p w14:paraId="46DA00C2" w14:textId="77777777" w:rsidR="000A6102" w:rsidRDefault="000A6102" w:rsidP="000A6102">
                        <w:pPr>
                          <w:numPr>
                            <w:ilvl w:val="0"/>
                            <w:numId w:val="3"/>
                          </w:num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Friday 30th December</w:t>
                        </w:r>
                      </w:p>
                      <w:p w14:paraId="1AA2776E"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p>
                      <w:p w14:paraId="345BE486" w14:textId="23875A5D" w:rsidR="000A6102" w:rsidRDefault="000A6102" w:rsidP="000A610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 xml:space="preserve">From Wednesday 4th January, the regular newsletter schedule will resume, with emails sent on Mondays, </w:t>
                        </w:r>
                        <w:proofErr w:type="gramStart"/>
                        <w:r>
                          <w:rPr>
                            <w:rFonts w:ascii="Tahoma" w:hAnsi="Tahoma" w:cs="Tahoma"/>
                            <w:color w:val="303030"/>
                            <w:sz w:val="21"/>
                            <w:szCs w:val="21"/>
                          </w:rPr>
                          <w:t>Wednesdays</w:t>
                        </w:r>
                        <w:proofErr w:type="gramEnd"/>
                        <w:r>
                          <w:rPr>
                            <w:rFonts w:ascii="Tahoma" w:hAnsi="Tahoma" w:cs="Tahoma"/>
                            <w:color w:val="303030"/>
                            <w:sz w:val="21"/>
                            <w:szCs w:val="21"/>
                          </w:rPr>
                          <w:t xml:space="preserve"> and Fridays. If there is a need to share additional or urgent news over this period, then we will send out extra emails in addition to the above.</w:t>
                        </w:r>
                      </w:p>
                      <w:p w14:paraId="71A5939E" w14:textId="77777777" w:rsidR="000A6102" w:rsidRDefault="000A6102" w:rsidP="000A6102">
                        <w:pPr>
                          <w:pStyle w:val="NormalWeb"/>
                          <w:spacing w:before="0" w:beforeAutospacing="0" w:after="0" w:afterAutospacing="0" w:line="264" w:lineRule="auto"/>
                          <w:rPr>
                            <w:rFonts w:ascii="Tahoma" w:hAnsi="Tahoma" w:cs="Tahoma"/>
                            <w:color w:val="303030"/>
                            <w:sz w:val="21"/>
                            <w:szCs w:val="21"/>
                          </w:rPr>
                        </w:pPr>
                      </w:p>
                      <w:p w14:paraId="445ABE8C" w14:textId="65CC8209" w:rsidR="000A6102" w:rsidRDefault="000A6102" w:rsidP="000A6102">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Many thanks for your continued support for PSNC’s emails.</w:t>
                        </w:r>
                      </w:p>
                    </w:tc>
                    <w:tc>
                      <w:tcPr>
                        <w:tcW w:w="150" w:type="dxa"/>
                        <w:vAlign w:val="center"/>
                        <w:hideMark/>
                      </w:tcPr>
                      <w:p w14:paraId="684CE0D7" w14:textId="77777777" w:rsidR="000A6102" w:rsidRDefault="000A6102" w:rsidP="000A6102">
                        <w:pPr>
                          <w:spacing w:line="264" w:lineRule="auto"/>
                          <w:rPr>
                            <w:rFonts w:ascii="Tahoma" w:hAnsi="Tahoma" w:cs="Tahoma"/>
                            <w:color w:val="303030"/>
                            <w:sz w:val="21"/>
                            <w:szCs w:val="21"/>
                          </w:rPr>
                        </w:pPr>
                      </w:p>
                    </w:tc>
                  </w:tr>
                  <w:tr w:rsidR="000A6102" w14:paraId="268F0ECA" w14:textId="77777777">
                    <w:trPr>
                      <w:trHeight w:val="150"/>
                      <w:tblCellSpacing w:w="15" w:type="dxa"/>
                      <w:jc w:val="center"/>
                    </w:trPr>
                    <w:tc>
                      <w:tcPr>
                        <w:tcW w:w="150" w:type="dxa"/>
                        <w:vAlign w:val="center"/>
                        <w:hideMark/>
                      </w:tcPr>
                      <w:p w14:paraId="74BD5573" w14:textId="77777777" w:rsidR="000A6102" w:rsidRDefault="000A6102" w:rsidP="000A6102">
                        <w:pPr>
                          <w:spacing w:line="264" w:lineRule="auto"/>
                          <w:rPr>
                            <w:rFonts w:ascii="Times New Roman" w:eastAsia="Times New Roman" w:hAnsi="Times New Roman" w:cs="Times New Roman"/>
                            <w:sz w:val="20"/>
                            <w:szCs w:val="20"/>
                          </w:rPr>
                        </w:pPr>
                      </w:p>
                    </w:tc>
                    <w:tc>
                      <w:tcPr>
                        <w:tcW w:w="8700" w:type="dxa"/>
                        <w:vAlign w:val="center"/>
                        <w:hideMark/>
                      </w:tcPr>
                      <w:p w14:paraId="1E8409BA" w14:textId="77777777" w:rsidR="000A6102" w:rsidRDefault="000A6102" w:rsidP="000A6102">
                        <w:pPr>
                          <w:spacing w:line="264" w:lineRule="auto"/>
                          <w:rPr>
                            <w:rFonts w:ascii="Times New Roman" w:eastAsia="Times New Roman" w:hAnsi="Times New Roman" w:cs="Times New Roman"/>
                            <w:sz w:val="20"/>
                            <w:szCs w:val="20"/>
                          </w:rPr>
                        </w:pPr>
                      </w:p>
                    </w:tc>
                    <w:tc>
                      <w:tcPr>
                        <w:tcW w:w="150" w:type="dxa"/>
                        <w:vAlign w:val="center"/>
                        <w:hideMark/>
                      </w:tcPr>
                      <w:p w14:paraId="4A75DC3E" w14:textId="77777777" w:rsidR="000A6102" w:rsidRDefault="000A6102" w:rsidP="000A6102">
                        <w:pPr>
                          <w:spacing w:line="264" w:lineRule="auto"/>
                          <w:rPr>
                            <w:rFonts w:ascii="Times New Roman" w:eastAsia="Times New Roman" w:hAnsi="Times New Roman" w:cs="Times New Roman"/>
                            <w:sz w:val="20"/>
                            <w:szCs w:val="20"/>
                          </w:rPr>
                        </w:pPr>
                      </w:p>
                    </w:tc>
                  </w:tr>
                </w:tbl>
                <w:p w14:paraId="5937342C" w14:textId="77777777" w:rsidR="000A6102" w:rsidRDefault="000A6102" w:rsidP="000A6102">
                  <w:pPr>
                    <w:spacing w:line="264" w:lineRule="auto"/>
                    <w:rPr>
                      <w:rFonts w:ascii="Times New Roman" w:eastAsia="Times New Roman" w:hAnsi="Times New Roman" w:cs="Times New Roman"/>
                      <w:sz w:val="20"/>
                      <w:szCs w:val="20"/>
                    </w:rPr>
                  </w:pPr>
                </w:p>
              </w:tc>
            </w:tr>
          </w:tbl>
          <w:p w14:paraId="6F25A128" w14:textId="77777777" w:rsidR="000A6102" w:rsidRDefault="000A6102">
            <w:pPr>
              <w:jc w:val="center"/>
              <w:rPr>
                <w:rFonts w:ascii="Times New Roman" w:eastAsia="Times New Roman" w:hAnsi="Times New Roman" w:cs="Times New Roman"/>
                <w:sz w:val="20"/>
                <w:szCs w:val="20"/>
              </w:rPr>
            </w:pPr>
          </w:p>
        </w:tc>
      </w:tr>
      <w:tr w:rsidR="000A6102" w14:paraId="10AFBD2D" w14:textId="77777777" w:rsidTr="000A6102">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0A6102" w14:paraId="5B1DBD36"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0A6102" w14:paraId="5E270D4E" w14:textId="77777777">
                    <w:trPr>
                      <w:tblCellSpacing w:w="0" w:type="dxa"/>
                      <w:jc w:val="center"/>
                    </w:trPr>
                    <w:tc>
                      <w:tcPr>
                        <w:tcW w:w="3000" w:type="dxa"/>
                        <w:tcMar>
                          <w:top w:w="30" w:type="dxa"/>
                          <w:left w:w="75" w:type="dxa"/>
                          <w:bottom w:w="30" w:type="dxa"/>
                          <w:right w:w="75" w:type="dxa"/>
                        </w:tcMar>
                        <w:hideMark/>
                      </w:tcPr>
                      <w:p w14:paraId="6BA4EA37" w14:textId="77777777" w:rsidR="000A6102" w:rsidRDefault="000A6102">
                        <w:pPr>
                          <w:pStyle w:val="Heading4"/>
                          <w:jc w:val="center"/>
                          <w:rPr>
                            <w:rFonts w:eastAsia="Times New Roman"/>
                          </w:rPr>
                        </w:pPr>
                        <w:r>
                          <w:rPr>
                            <w:rFonts w:eastAsia="Times New Roman"/>
                          </w:rPr>
                          <w:lastRenderedPageBreak/>
                          <w:t>Pharmaceutical Services Negotiating Committee</w:t>
                        </w:r>
                      </w:p>
                      <w:p w14:paraId="30BA2DD4" w14:textId="696A9F50" w:rsidR="000A6102" w:rsidRDefault="000A6102">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3894FC08" wp14:editId="4724CA1D">
                              <wp:extent cx="609600" cy="304800"/>
                              <wp:effectExtent l="0" t="0" r="0" b="0"/>
                              <wp:docPr id="5" name="Picture 5">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6958065" wp14:editId="6BD95333">
                              <wp:extent cx="609600" cy="304800"/>
                              <wp:effectExtent l="0" t="0" r="0" b="0"/>
                              <wp:docPr id="4" name="Picture 4">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r:link="rId30">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06B7316" wp14:editId="0B01557C">
                              <wp:extent cx="609600" cy="304800"/>
                              <wp:effectExtent l="0" t="0" r="0" b="0"/>
                              <wp:docPr id="3" name="Picture 3">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652B0F5F" wp14:editId="6B28DFB5">
                              <wp:extent cx="609600" cy="304800"/>
                              <wp:effectExtent l="0" t="0" r="0" b="0"/>
                              <wp:docPr id="2" name="Picture 2">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5" r:link="rId3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17CDC94" w14:textId="77777777" w:rsidR="000A6102" w:rsidRDefault="000A6102">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37"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0A6102" w14:paraId="0C45E0D1" w14:textId="77777777" w:rsidTr="000A6102">
                    <w:trPr>
                      <w:trHeight w:val="20"/>
                      <w:tblCellSpacing w:w="0" w:type="dxa"/>
                      <w:jc w:val="center"/>
                    </w:trPr>
                    <w:tc>
                      <w:tcPr>
                        <w:tcW w:w="9000" w:type="dxa"/>
                        <w:tcMar>
                          <w:top w:w="150" w:type="dxa"/>
                          <w:left w:w="0" w:type="dxa"/>
                          <w:bottom w:w="0" w:type="dxa"/>
                          <w:right w:w="0" w:type="dxa"/>
                        </w:tcMar>
                        <w:vAlign w:val="center"/>
                        <w:hideMark/>
                      </w:tcPr>
                      <w:p w14:paraId="1B3646C6" w14:textId="647FF696" w:rsidR="000A6102" w:rsidRDefault="000A6102" w:rsidP="000A6102">
                        <w:pPr>
                          <w:rPr>
                            <w:rFonts w:ascii="Arial" w:eastAsia="Times New Roman" w:hAnsi="Arial" w:cs="Arial"/>
                            <w:color w:val="FFFFFF"/>
                            <w:sz w:val="17"/>
                            <w:szCs w:val="17"/>
                          </w:rPr>
                        </w:pPr>
                      </w:p>
                    </w:tc>
                  </w:tr>
                </w:tbl>
                <w:p w14:paraId="6FCE5EF5" w14:textId="77777777" w:rsidR="000A6102" w:rsidRDefault="000A6102">
                  <w:pPr>
                    <w:jc w:val="center"/>
                    <w:rPr>
                      <w:rFonts w:ascii="Times New Roman" w:eastAsia="Times New Roman" w:hAnsi="Times New Roman" w:cs="Times New Roman"/>
                      <w:sz w:val="20"/>
                      <w:szCs w:val="20"/>
                    </w:rPr>
                  </w:pPr>
                </w:p>
              </w:tc>
            </w:tr>
          </w:tbl>
          <w:p w14:paraId="1EF0A326" w14:textId="77777777" w:rsidR="000A6102" w:rsidRDefault="000A6102">
            <w:pPr>
              <w:jc w:val="center"/>
              <w:rPr>
                <w:rFonts w:ascii="Times New Roman" w:eastAsia="Times New Roman" w:hAnsi="Times New Roman" w:cs="Times New Roman"/>
                <w:sz w:val="20"/>
                <w:szCs w:val="20"/>
              </w:rPr>
            </w:pPr>
          </w:p>
        </w:tc>
      </w:tr>
    </w:tbl>
    <w:p w14:paraId="40F92F0E" w14:textId="753C8013" w:rsidR="000A6102" w:rsidRDefault="000A6102" w:rsidP="000A6102">
      <w:pPr>
        <w:rPr>
          <w:rFonts w:eastAsia="Times New Roman"/>
        </w:rPr>
      </w:pPr>
      <w:r>
        <w:rPr>
          <w:rFonts w:eastAsia="Times New Roman"/>
          <w:noProof/>
        </w:rPr>
        <w:drawing>
          <wp:inline distT="0" distB="0" distL="0" distR="0" wp14:anchorId="3FF99D6F" wp14:editId="576FC099">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8" r:link="rId3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5D2F2B7"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64A55"/>
    <w:multiLevelType w:val="multilevel"/>
    <w:tmpl w:val="D0504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CE01F1"/>
    <w:multiLevelType w:val="multilevel"/>
    <w:tmpl w:val="3A80C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8B4105"/>
    <w:multiLevelType w:val="multilevel"/>
    <w:tmpl w:val="51C081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474373285">
    <w:abstractNumId w:val="0"/>
    <w:lvlOverride w:ilvl="0"/>
    <w:lvlOverride w:ilvl="1"/>
    <w:lvlOverride w:ilvl="2"/>
    <w:lvlOverride w:ilvl="3"/>
    <w:lvlOverride w:ilvl="4"/>
    <w:lvlOverride w:ilvl="5"/>
    <w:lvlOverride w:ilvl="6"/>
    <w:lvlOverride w:ilvl="7"/>
    <w:lvlOverride w:ilvl="8"/>
  </w:num>
  <w:num w:numId="2" w16cid:durableId="1247348677">
    <w:abstractNumId w:val="1"/>
    <w:lvlOverride w:ilvl="0"/>
    <w:lvlOverride w:ilvl="1"/>
    <w:lvlOverride w:ilvl="2"/>
    <w:lvlOverride w:ilvl="3"/>
    <w:lvlOverride w:ilvl="4"/>
    <w:lvlOverride w:ilvl="5"/>
    <w:lvlOverride w:ilvl="6"/>
    <w:lvlOverride w:ilvl="7"/>
    <w:lvlOverride w:ilvl="8"/>
  </w:num>
  <w:num w:numId="3" w16cid:durableId="1355692664">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102"/>
    <w:rsid w:val="000A6102"/>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A1FCE"/>
  <w15:chartTrackingRefBased/>
  <w15:docId w15:val="{06EE66B7-64F2-4011-9EE8-D8A22B325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6102"/>
    <w:rPr>
      <w:rFonts w:ascii="Calibri" w:hAnsi="Calibri" w:cs="Calibri"/>
      <w:lang w:eastAsia="en-GB"/>
    </w:rPr>
  </w:style>
  <w:style w:type="paragraph" w:styleId="Heading1">
    <w:name w:val="heading 1"/>
    <w:basedOn w:val="Normal"/>
    <w:link w:val="Heading1Char"/>
    <w:uiPriority w:val="9"/>
    <w:qFormat/>
    <w:rsid w:val="000A6102"/>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0A6102"/>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0A6102"/>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102"/>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0A6102"/>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0A6102"/>
    <w:rPr>
      <w:rFonts w:ascii="Tahoma" w:hAnsi="Tahoma" w:cs="Tahoma"/>
      <w:b/>
      <w:bCs/>
      <w:color w:val="FFFFFF"/>
      <w:sz w:val="18"/>
      <w:szCs w:val="18"/>
      <w:lang w:eastAsia="en-GB"/>
    </w:rPr>
  </w:style>
  <w:style w:type="paragraph" w:styleId="NormalWeb">
    <w:name w:val="Normal (Web)"/>
    <w:basedOn w:val="Normal"/>
    <w:uiPriority w:val="99"/>
    <w:semiHidden/>
    <w:unhideWhenUsed/>
    <w:rsid w:val="000A6102"/>
    <w:pPr>
      <w:spacing w:before="100" w:beforeAutospacing="1" w:after="100" w:afterAutospacing="1"/>
    </w:pPr>
  </w:style>
  <w:style w:type="character" w:styleId="Strong">
    <w:name w:val="Strong"/>
    <w:basedOn w:val="DefaultParagraphFont"/>
    <w:uiPriority w:val="22"/>
    <w:qFormat/>
    <w:rsid w:val="000A6102"/>
    <w:rPr>
      <w:b/>
      <w:bCs/>
    </w:rPr>
  </w:style>
  <w:style w:type="character" w:styleId="Hyperlink">
    <w:name w:val="Hyperlink"/>
    <w:basedOn w:val="DefaultParagraphFont"/>
    <w:uiPriority w:val="99"/>
    <w:semiHidden/>
    <w:unhideWhenUsed/>
    <w:rsid w:val="000A61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7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d075bca829&amp;e=d19e9fd41c" TargetMode="External"/><Relationship Id="rId18" Type="http://schemas.openxmlformats.org/officeDocument/2006/relationships/hyperlink" Target="https://psnc.us7.list-manage.com/track/click?u=86d41ab7fa4c7c2c5d7210782&amp;id=61c310d9cb&amp;e=d19e9fd41c" TargetMode="External"/><Relationship Id="rId26" Type="http://schemas.openxmlformats.org/officeDocument/2006/relationships/image" Target="media/image3.png"/><Relationship Id="rId39" Type="http://schemas.openxmlformats.org/officeDocument/2006/relationships/image" Target="https://psnc.us7.list-manage.com/track/open.php?u=86d41ab7fa4c7c2c5d7210782&amp;id=72995444aa&amp;e=d19e9fd41c" TargetMode="External"/><Relationship Id="rId3" Type="http://schemas.openxmlformats.org/officeDocument/2006/relationships/settings" Target="settings.xml"/><Relationship Id="rId21" Type="http://schemas.openxmlformats.org/officeDocument/2006/relationships/hyperlink" Target="https://psnc.us7.list-manage.com/track/click?u=86d41ab7fa4c7c2c5d7210782&amp;id=d807fb7a90&amp;e=d19e9fd41c" TargetMode="External"/><Relationship Id="rId34" Type="http://schemas.openxmlformats.org/officeDocument/2006/relationships/hyperlink" Target="https://psnc.us7.list-manage.com/track/click?u=86d41ab7fa4c7c2c5d7210782&amp;id=8cbca5c69a&amp;e=d19e9fd41c"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7db5ca8ea2&amp;e=d19e9fd41c" TargetMode="External"/><Relationship Id="rId17" Type="http://schemas.openxmlformats.org/officeDocument/2006/relationships/hyperlink" Target="https://psnc.us7.list-manage.com/track/click?u=86d41ab7fa4c7c2c5d7210782&amp;id=69a2aeabec&amp;e=d19e9fd41c" TargetMode="External"/><Relationship Id="rId25" Type="http://schemas.openxmlformats.org/officeDocument/2006/relationships/hyperlink" Target="https://psnc.us7.list-manage.com/track/click?u=86d41ab7fa4c7c2c5d7210782&amp;id=89fecaef66&amp;e=d19e9fd41c" TargetMode="External"/><Relationship Id="rId33" Type="http://schemas.openxmlformats.org/officeDocument/2006/relationships/image" Target="https://gallery.mailchimp.com/86d41ab7fa4c7c2c5d7210782/images/cd088afd-0ac0-4498-8ed1-e4199bf882ce.png" TargetMode="External"/><Relationship Id="rId38" Type="http://schemas.openxmlformats.org/officeDocument/2006/relationships/image" Target="media/image7.gif"/><Relationship Id="rId2" Type="http://schemas.openxmlformats.org/officeDocument/2006/relationships/styles" Target="styles.xml"/><Relationship Id="rId16" Type="http://schemas.openxmlformats.org/officeDocument/2006/relationships/hyperlink" Target="https://psnc.us7.list-manage.com/track/click?u=86d41ab7fa4c7c2c5d7210782&amp;id=dfd4ed6aa4&amp;e=d19e9fd41c" TargetMode="External"/><Relationship Id="rId20" Type="http://schemas.openxmlformats.org/officeDocument/2006/relationships/hyperlink" Target="https://psnc.us7.list-manage.com/track/click?u=86d41ab7fa4c7c2c5d7210782&amp;id=0d366fa72a&amp;e=d19e9fd41c" TargetMode="External"/><Relationship Id="rId29" Type="http://schemas.openxmlformats.org/officeDocument/2006/relationships/image" Target="media/image4.png"/><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72efb4c4df&amp;e=d19e9fd41c" TargetMode="External"/><Relationship Id="rId24" Type="http://schemas.openxmlformats.org/officeDocument/2006/relationships/hyperlink" Target="https://psnc.us7.list-manage.com/track/click?u=86d41ab7fa4c7c2c5d7210782&amp;id=d9a3544578&amp;e=d19e9fd41c" TargetMode="External"/><Relationship Id="rId32" Type="http://schemas.openxmlformats.org/officeDocument/2006/relationships/image" Target="media/image5.png"/><Relationship Id="rId37" Type="http://schemas.openxmlformats.org/officeDocument/2006/relationships/hyperlink" Target="mailto:info@psnc.org.uk" TargetMode="External"/><Relationship Id="rId40"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psnc.us7.list-manage.com/track/click?u=86d41ab7fa4c7c2c5d7210782&amp;id=cbe23f1516&amp;e=d19e9fd41c" TargetMode="External"/><Relationship Id="rId23" Type="http://schemas.openxmlformats.org/officeDocument/2006/relationships/hyperlink" Target="https://psnc.us7.list-manage.com/track/click?u=86d41ab7fa4c7c2c5d7210782&amp;id=b8d05d1f02&amp;e=d19e9fd41c" TargetMode="External"/><Relationship Id="rId28" Type="http://schemas.openxmlformats.org/officeDocument/2006/relationships/hyperlink" Target="https://psnc.us7.list-manage.com/track/click?u=86d41ab7fa4c7c2c5d7210782&amp;id=b0e6f07767&amp;e=d19e9fd41c" TargetMode="External"/><Relationship Id="rId36" Type="http://schemas.openxmlformats.org/officeDocument/2006/relationships/image" Target="https://gallery.mailchimp.com/86d41ab7fa4c7c2c5d7210782/images/f5c0845f-f39c-425d-8d3c-deff11493c50.png" TargetMode="External"/><Relationship Id="rId10" Type="http://schemas.openxmlformats.org/officeDocument/2006/relationships/hyperlink" Target="https://psnc.us7.list-manage.com/track/click?u=86d41ab7fa4c7c2c5d7210782&amp;id=02d024864e&amp;e=d19e9fd41c" TargetMode="External"/><Relationship Id="rId19" Type="http://schemas.openxmlformats.org/officeDocument/2006/relationships/hyperlink" Target="https://psnc.us7.list-manage.com/track/click?u=86d41ab7fa4c7c2c5d7210782&amp;id=5bb768e6fb&amp;e=d19e9fd41c" TargetMode="External"/><Relationship Id="rId31" Type="http://schemas.openxmlformats.org/officeDocument/2006/relationships/hyperlink" Target="https://psnc.us7.list-manage.com/track/click?u=86d41ab7fa4c7c2c5d7210782&amp;id=e765a0c2ba&amp;e=d19e9fd41c" TargetMode="External"/><Relationship Id="rId4" Type="http://schemas.openxmlformats.org/officeDocument/2006/relationships/webSettings" Target="webSettings.xml"/><Relationship Id="rId9" Type="http://schemas.openxmlformats.org/officeDocument/2006/relationships/hyperlink" Target="https://psnc.us7.list-manage.com/track/click?u=86d41ab7fa4c7c2c5d7210782&amp;id=e32e6a91bb&amp;e=d19e9fd41c" TargetMode="External"/><Relationship Id="rId14" Type="http://schemas.openxmlformats.org/officeDocument/2006/relationships/hyperlink" Target="https://psnc.us7.list-manage.com/track/click?u=86d41ab7fa4c7c2c5d7210782&amp;id=847782c5e1&amp;e=d19e9fd41c" TargetMode="External"/><Relationship Id="rId22" Type="http://schemas.openxmlformats.org/officeDocument/2006/relationships/hyperlink" Target="https://psnc.us7.list-manage.com/track/click?u=86d41ab7fa4c7c2c5d7210782&amp;id=4d47dac7a8&amp;e=d19e9fd41c" TargetMode="External"/><Relationship Id="rId27" Type="http://schemas.openxmlformats.org/officeDocument/2006/relationships/image" Target="https://gallery.mailchimp.com/86d41ab7fa4c7c2c5d7210782/images/5acd9cf1-bdba-4039-b74f-638b444ff5d8.png" TargetMode="External"/><Relationship Id="rId30" Type="http://schemas.openxmlformats.org/officeDocument/2006/relationships/image" Target="https://gallery.mailchimp.com/86d41ab7fa4c7c2c5d7210782/images/e1475f6b-1081-4509-ab25-9cd7f83d26b2.png" TargetMode="External"/><Relationship Id="rId35"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2022-12-28T08:58:00Z</dcterms:created>
  <dcterms:modified xsi:type="dcterms:W3CDTF">2022-12-28T09:01:00Z</dcterms:modified>
</cp:coreProperties>
</file>