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4366C" w14:paraId="40375740" w14:textId="77777777" w:rsidTr="0054366C">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4366C" w14:paraId="2779D543"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4366C" w14:paraId="24F7405A" w14:textId="77777777">
                    <w:trPr>
                      <w:tblCellSpacing w:w="0" w:type="dxa"/>
                      <w:jc w:val="center"/>
                    </w:trPr>
                    <w:tc>
                      <w:tcPr>
                        <w:tcW w:w="3000" w:type="dxa"/>
                        <w:hideMark/>
                      </w:tcPr>
                      <w:p w14:paraId="3A81E9E8" w14:textId="6DC8C586" w:rsidR="0054366C" w:rsidRDefault="0054366C">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C6C72B8" w14:textId="77777777" w:rsidR="0054366C" w:rsidRDefault="0054366C">
                  <w:pPr>
                    <w:jc w:val="center"/>
                    <w:rPr>
                      <w:rFonts w:ascii="Times New Roman" w:eastAsia="Times New Roman" w:hAnsi="Times New Roman" w:cs="Times New Roman"/>
                      <w:sz w:val="20"/>
                      <w:szCs w:val="20"/>
                    </w:rPr>
                  </w:pPr>
                </w:p>
              </w:tc>
            </w:tr>
            <w:tr w:rsidR="0054366C" w14:paraId="7383E26A"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4366C" w14:paraId="32DA312B"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054735B" w14:textId="77024542" w:rsidR="0054366C" w:rsidRDefault="0054366C">
                        <w:pPr>
                          <w:jc w:val="center"/>
                          <w:rPr>
                            <w:rFonts w:eastAsia="Times New Roman"/>
                          </w:rPr>
                        </w:pPr>
                        <w:r>
                          <w:rPr>
                            <w:rFonts w:eastAsia="Times New Roman"/>
                            <w:noProof/>
                          </w:rPr>
                          <w:drawing>
                            <wp:inline distT="0" distB="0" distL="0" distR="0" wp14:anchorId="0ADD83DF" wp14:editId="10DFDBDC">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4366C" w14:paraId="5F87EC79" w14:textId="77777777">
                    <w:trPr>
                      <w:tblCellSpacing w:w="0" w:type="dxa"/>
                    </w:trPr>
                    <w:tc>
                      <w:tcPr>
                        <w:tcW w:w="0" w:type="auto"/>
                        <w:vMerge/>
                        <w:tcBorders>
                          <w:top w:val="nil"/>
                          <w:left w:val="nil"/>
                          <w:bottom w:val="single" w:sz="2" w:space="0" w:color="FFFFFF"/>
                          <w:right w:val="nil"/>
                        </w:tcBorders>
                        <w:vAlign w:val="center"/>
                        <w:hideMark/>
                      </w:tcPr>
                      <w:p w14:paraId="779D008E" w14:textId="77777777" w:rsidR="0054366C" w:rsidRDefault="0054366C">
                        <w:pPr>
                          <w:rPr>
                            <w:rFonts w:eastAsia="Times New Roman"/>
                          </w:rPr>
                        </w:pPr>
                      </w:p>
                    </w:tc>
                    <w:tc>
                      <w:tcPr>
                        <w:tcW w:w="3450" w:type="dxa"/>
                        <w:tcBorders>
                          <w:top w:val="nil"/>
                          <w:left w:val="nil"/>
                          <w:bottom w:val="nil"/>
                          <w:right w:val="nil"/>
                        </w:tcBorders>
                        <w:vAlign w:val="center"/>
                        <w:hideMark/>
                      </w:tcPr>
                      <w:p w14:paraId="5D2B41CB" w14:textId="77777777" w:rsidR="0054366C" w:rsidRDefault="0054366C">
                        <w:pPr>
                          <w:pStyle w:val="Heading1"/>
                          <w:rPr>
                            <w:rFonts w:eastAsia="Times New Roman"/>
                          </w:rPr>
                        </w:pPr>
                        <w:r>
                          <w:rPr>
                            <w:rFonts w:eastAsia="Times New Roman"/>
                          </w:rPr>
                          <w:t>PSNC Newsletter</w:t>
                        </w:r>
                      </w:p>
                    </w:tc>
                  </w:tr>
                  <w:tr w:rsidR="0054366C" w14:paraId="59D5335E" w14:textId="77777777">
                    <w:trPr>
                      <w:tblCellSpacing w:w="0" w:type="dxa"/>
                    </w:trPr>
                    <w:tc>
                      <w:tcPr>
                        <w:tcW w:w="0" w:type="auto"/>
                        <w:vMerge/>
                        <w:tcBorders>
                          <w:top w:val="nil"/>
                          <w:left w:val="nil"/>
                          <w:bottom w:val="single" w:sz="2" w:space="0" w:color="FFFFFF"/>
                          <w:right w:val="nil"/>
                        </w:tcBorders>
                        <w:vAlign w:val="center"/>
                        <w:hideMark/>
                      </w:tcPr>
                      <w:p w14:paraId="7C87D517" w14:textId="77777777" w:rsidR="0054366C" w:rsidRDefault="0054366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206CC38" w14:textId="77777777" w:rsidR="0054366C" w:rsidRDefault="0054366C">
                        <w:pPr>
                          <w:pStyle w:val="Heading2"/>
                          <w:rPr>
                            <w:rFonts w:eastAsia="Times New Roman"/>
                            <w:color w:val="93378A"/>
                          </w:rPr>
                        </w:pPr>
                        <w:r>
                          <w:rPr>
                            <w:rFonts w:eastAsia="Times New Roman"/>
                            <w:color w:val="93378A"/>
                          </w:rPr>
                          <w:t>Wednesday 28th December 2022</w:t>
                        </w:r>
                      </w:p>
                    </w:tc>
                  </w:tr>
                </w:tbl>
                <w:p w14:paraId="632091BD" w14:textId="77777777" w:rsidR="0054366C" w:rsidRDefault="0054366C">
                  <w:pPr>
                    <w:rPr>
                      <w:rFonts w:ascii="Times New Roman" w:eastAsia="Times New Roman" w:hAnsi="Times New Roman" w:cs="Times New Roman"/>
                      <w:sz w:val="20"/>
                      <w:szCs w:val="20"/>
                    </w:rPr>
                  </w:pPr>
                </w:p>
              </w:tc>
            </w:tr>
            <w:tr w:rsidR="0054366C" w14:paraId="69290B6F" w14:textId="77777777">
              <w:tblPrEx>
                <w:shd w:val="clear" w:color="auto" w:fill="auto"/>
              </w:tblPrEx>
              <w:trPr>
                <w:tblCellSpacing w:w="0" w:type="dxa"/>
                <w:jc w:val="center"/>
              </w:trPr>
              <w:tc>
                <w:tcPr>
                  <w:tcW w:w="9000" w:type="dxa"/>
                  <w:hideMark/>
                </w:tcPr>
                <w:p w14:paraId="2591E5C9" w14:textId="5F7ECFFC" w:rsidR="0054366C" w:rsidRDefault="0054366C">
                  <w:pPr>
                    <w:rPr>
                      <w:rFonts w:eastAsia="Times New Roman"/>
                    </w:rPr>
                  </w:pPr>
                  <w:r>
                    <w:rPr>
                      <w:rFonts w:eastAsia="Times New Roman"/>
                      <w:noProof/>
                    </w:rPr>
                    <w:drawing>
                      <wp:inline distT="0" distB="0" distL="0" distR="0" wp14:anchorId="6F18B8B5" wp14:editId="26E5F899">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4366C" w14:paraId="1D01832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54366C" w14:paraId="51316FA5" w14:textId="77777777">
                    <w:trPr>
                      <w:trHeight w:val="150"/>
                      <w:tblCellSpacing w:w="15" w:type="dxa"/>
                      <w:jc w:val="center"/>
                    </w:trPr>
                    <w:tc>
                      <w:tcPr>
                        <w:tcW w:w="150" w:type="dxa"/>
                        <w:vAlign w:val="center"/>
                        <w:hideMark/>
                      </w:tcPr>
                      <w:p w14:paraId="66A8A319" w14:textId="77777777" w:rsidR="0054366C" w:rsidRDefault="0054366C">
                        <w:pPr>
                          <w:rPr>
                            <w:rFonts w:eastAsia="Times New Roman"/>
                          </w:rPr>
                        </w:pPr>
                      </w:p>
                    </w:tc>
                    <w:tc>
                      <w:tcPr>
                        <w:tcW w:w="8700" w:type="dxa"/>
                        <w:vAlign w:val="center"/>
                        <w:hideMark/>
                      </w:tcPr>
                      <w:p w14:paraId="6E85E6FF" w14:textId="77777777" w:rsidR="0054366C" w:rsidRDefault="0054366C">
                        <w:pPr>
                          <w:rPr>
                            <w:rFonts w:ascii="Times New Roman" w:eastAsia="Times New Roman" w:hAnsi="Times New Roman" w:cs="Times New Roman"/>
                            <w:sz w:val="20"/>
                            <w:szCs w:val="20"/>
                          </w:rPr>
                        </w:pPr>
                      </w:p>
                    </w:tc>
                    <w:tc>
                      <w:tcPr>
                        <w:tcW w:w="150" w:type="dxa"/>
                        <w:vAlign w:val="center"/>
                        <w:hideMark/>
                      </w:tcPr>
                      <w:p w14:paraId="21FBBA93" w14:textId="77777777" w:rsidR="0054366C" w:rsidRDefault="0054366C">
                        <w:pPr>
                          <w:rPr>
                            <w:rFonts w:ascii="Times New Roman" w:eastAsia="Times New Roman" w:hAnsi="Times New Roman" w:cs="Times New Roman"/>
                            <w:sz w:val="20"/>
                            <w:szCs w:val="20"/>
                          </w:rPr>
                        </w:pPr>
                      </w:p>
                    </w:tc>
                  </w:tr>
                  <w:tr w:rsidR="0054366C" w14:paraId="2D9A9EAF" w14:textId="77777777">
                    <w:trPr>
                      <w:tblCellSpacing w:w="15" w:type="dxa"/>
                      <w:jc w:val="center"/>
                    </w:trPr>
                    <w:tc>
                      <w:tcPr>
                        <w:tcW w:w="150" w:type="dxa"/>
                        <w:vAlign w:val="center"/>
                        <w:hideMark/>
                      </w:tcPr>
                      <w:p w14:paraId="7094E966" w14:textId="77777777" w:rsidR="0054366C" w:rsidRDefault="0054366C" w:rsidP="0054366C">
                        <w:pPr>
                          <w:spacing w:line="264" w:lineRule="auto"/>
                          <w:rPr>
                            <w:rFonts w:ascii="Times New Roman" w:eastAsia="Times New Roman" w:hAnsi="Times New Roman" w:cs="Times New Roman"/>
                            <w:sz w:val="20"/>
                            <w:szCs w:val="20"/>
                          </w:rPr>
                        </w:pPr>
                      </w:p>
                    </w:tc>
                    <w:tc>
                      <w:tcPr>
                        <w:tcW w:w="8700" w:type="dxa"/>
                        <w:vAlign w:val="center"/>
                        <w:hideMark/>
                      </w:tcPr>
                      <w:p w14:paraId="1BCAF3CE" w14:textId="77777777" w:rsidR="0054366C" w:rsidRDefault="0054366C" w:rsidP="0054366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3F7E227" w14:textId="77777777" w:rsidR="0054366C" w:rsidRDefault="0054366C" w:rsidP="0054366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272E886">
                            <v:rect id="_x0000_i1032" style="width:468pt;height:1.5pt" o:hrstd="t" o:hr="t" fillcolor="#a0a0a0" stroked="f"/>
                          </w:pict>
                        </w:r>
                      </w:p>
                      <w:p w14:paraId="67ABD479" w14:textId="77777777" w:rsidR="0054366C" w:rsidRDefault="0054366C" w:rsidP="0054366C">
                        <w:pPr>
                          <w:pStyle w:val="Heading2"/>
                          <w:spacing w:after="0"/>
                          <w:rPr>
                            <w:rFonts w:eastAsia="Times New Roman"/>
                          </w:rPr>
                        </w:pPr>
                        <w:r>
                          <w:rPr>
                            <w:rFonts w:eastAsia="Times New Roman"/>
                          </w:rPr>
                          <w:t>In this update: Category M prices announced; antibiotic supply situation; Drug Tariff changes from January.</w:t>
                        </w:r>
                      </w:p>
                      <w:p w14:paraId="46030BC9" w14:textId="77777777" w:rsidR="0054366C" w:rsidRDefault="0054366C" w:rsidP="0054366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D4F1E65">
                            <v:rect id="_x0000_i1033" style="width:468pt;height:1.5pt" o:hrstd="t" o:hr="t" fillcolor="#a0a0a0" stroked="f"/>
                          </w:pict>
                        </w:r>
                      </w:p>
                      <w:p w14:paraId="7DE7F216" w14:textId="77777777" w:rsidR="0054366C" w:rsidRDefault="0054366C" w:rsidP="0054366C">
                        <w:pPr>
                          <w:pStyle w:val="Heading3"/>
                          <w:spacing w:after="0"/>
                          <w:rPr>
                            <w:rFonts w:eastAsia="Times New Roman"/>
                          </w:rPr>
                        </w:pPr>
                        <w:r>
                          <w:rPr>
                            <w:rFonts w:eastAsia="Times New Roman"/>
                          </w:rPr>
                          <w:t>January 2023 Category M prices announced</w:t>
                        </w:r>
                      </w:p>
                      <w:p w14:paraId="463F2E8D" w14:textId="77777777" w:rsidR="0054366C" w:rsidRDefault="0054366C" w:rsidP="0054366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Drug Tariff Category M pricelist for January 2023 has been published on the NHS Business Services Authority (NHSBSA) website.</w:t>
                        </w:r>
                        <w:r>
                          <w:rPr>
                            <w:rFonts w:ascii="Tahoma" w:hAnsi="Tahoma" w:cs="Tahoma"/>
                            <w:color w:val="303030"/>
                            <w:sz w:val="21"/>
                            <w:szCs w:val="21"/>
                          </w:rPr>
                          <w:br/>
                        </w:r>
                        <w:r>
                          <w:rPr>
                            <w:rFonts w:ascii="Tahoma" w:hAnsi="Tahoma" w:cs="Tahoma"/>
                            <w:color w:val="303030"/>
                            <w:sz w:val="21"/>
                            <w:szCs w:val="21"/>
                          </w:rPr>
                          <w:br/>
                          <w:t>These prices reflect an increase in reimbursement levels of approximately £28m per quarter. This is the net effect of a recognition of the price rises that have been seen in the market in recent months and an adjustment based on PSNC's latest analysis of margin delivery.</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 about the new Category M prices</w:t>
                          </w:r>
                        </w:hyperlink>
                      </w:p>
                      <w:p w14:paraId="00E9BB1B" w14:textId="77777777" w:rsidR="0054366C" w:rsidRDefault="0054366C" w:rsidP="0054366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F4DC7A1">
                            <v:rect id="_x0000_i1034" style="width:468pt;height:1.5pt" o:hrstd="t" o:hr="t" fillcolor="#a0a0a0" stroked="f"/>
                          </w:pict>
                        </w:r>
                      </w:p>
                      <w:p w14:paraId="21BBB328" w14:textId="77777777" w:rsidR="0054366C" w:rsidRDefault="0054366C" w:rsidP="0054366C">
                        <w:pPr>
                          <w:pStyle w:val="Heading3"/>
                          <w:spacing w:after="0"/>
                          <w:rPr>
                            <w:rFonts w:eastAsia="Times New Roman"/>
                          </w:rPr>
                        </w:pPr>
                        <w:r>
                          <w:rPr>
                            <w:rFonts w:eastAsia="Times New Roman"/>
                          </w:rPr>
                          <w:t>SSPs and supplies of antibiotics for Strep A treatments</w:t>
                        </w:r>
                      </w:p>
                      <w:p w14:paraId="38D4CFCA" w14:textId="77777777" w:rsidR="0054366C" w:rsidRDefault="0054366C" w:rsidP="0054366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supply situation re antibiotics remains extremely challenging for community pharmacy contractors and much work has been undertaken by both PSNC and the LPCs to seek resolutions at both a national and local level.</w:t>
                        </w:r>
                        <w:r>
                          <w:rPr>
                            <w:rFonts w:ascii="Tahoma" w:hAnsi="Tahoma" w:cs="Tahoma"/>
                            <w:color w:val="303030"/>
                            <w:sz w:val="21"/>
                            <w:szCs w:val="21"/>
                          </w:rPr>
                          <w:br/>
                        </w:r>
                        <w:r>
                          <w:rPr>
                            <w:rFonts w:ascii="Tahoma" w:hAnsi="Tahoma" w:cs="Tahoma"/>
                            <w:color w:val="303030"/>
                            <w:sz w:val="21"/>
                            <w:szCs w:val="21"/>
                          </w:rPr>
                          <w:br/>
                          <w:t xml:space="preserve">On Friday we published an update containing the latest information and support materials for contractors. </w:t>
                        </w:r>
                        <w:proofErr w:type="gramStart"/>
                        <w:r>
                          <w:rPr>
                            <w:rFonts w:ascii="Tahoma" w:hAnsi="Tahoma" w:cs="Tahoma"/>
                            <w:color w:val="303030"/>
                            <w:sz w:val="21"/>
                            <w:szCs w:val="21"/>
                          </w:rPr>
                          <w:t>In particular, we</w:t>
                        </w:r>
                        <w:proofErr w:type="gramEnd"/>
                        <w:r>
                          <w:rPr>
                            <w:rFonts w:ascii="Tahoma" w:hAnsi="Tahoma" w:cs="Tahoma"/>
                            <w:color w:val="303030"/>
                            <w:sz w:val="21"/>
                            <w:szCs w:val="21"/>
                          </w:rPr>
                          <w:t xml:space="preserve"> would like to draw your attention to:</w:t>
                        </w:r>
                      </w:p>
                      <w:p w14:paraId="57343795" w14:textId="77777777" w:rsidR="0054366C" w:rsidRDefault="0054366C" w:rsidP="0054366C">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Serious Shortage Protocols (SSPs):</w:t>
                        </w:r>
                        <w:r>
                          <w:rPr>
                            <w:rFonts w:ascii="Tahoma" w:eastAsia="Times New Roman" w:hAnsi="Tahoma" w:cs="Tahoma"/>
                            <w:color w:val="303030"/>
                            <w:sz w:val="21"/>
                            <w:szCs w:val="21"/>
                          </w:rPr>
                          <w:t xml:space="preserve"> The eight SSPs issued before Christmas have recently been updated further. Both PSNC and the Royal Pharmaceutical Society (RPS) have issued guidance to support their use.</w:t>
                        </w:r>
                      </w:p>
                      <w:p w14:paraId="09454452" w14:textId="77777777" w:rsidR="0054366C" w:rsidRDefault="0054366C" w:rsidP="0054366C">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Supply of Antibiotics:</w:t>
                        </w:r>
                        <w:r>
                          <w:rPr>
                            <w:rFonts w:ascii="Tahoma" w:eastAsia="Times New Roman" w:hAnsi="Tahoma" w:cs="Tahoma"/>
                            <w:color w:val="303030"/>
                            <w:sz w:val="21"/>
                            <w:szCs w:val="21"/>
                          </w:rPr>
                          <w:t xml:space="preserve"> PSNC has been liaising with DHSC and the Healthcare Distribution Association (HDA) to check that measures are in place to ensure supplies during the Christmas and New Year period.</w:t>
                        </w:r>
                      </w:p>
                      <w:p w14:paraId="415AB490" w14:textId="77777777" w:rsidR="0054366C" w:rsidRDefault="0054366C" w:rsidP="0054366C">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Ongoing Pharmacy Pressures:</w:t>
                        </w:r>
                        <w:r>
                          <w:rPr>
                            <w:rFonts w:ascii="Tahoma" w:eastAsia="Times New Roman" w:hAnsi="Tahoma" w:cs="Tahoma"/>
                            <w:color w:val="303030"/>
                            <w:sz w:val="21"/>
                            <w:szCs w:val="21"/>
                          </w:rPr>
                          <w:t xml:space="preserve"> We are continuing to make very clear and strong representations to Ministers and Government about pressures on pharmacies, including in the recent </w:t>
                        </w:r>
                        <w:hyperlink r:id="rId10" w:tgtFrame="_blank" w:history="1">
                          <w:r>
                            <w:rPr>
                              <w:rStyle w:val="Hyperlink"/>
                              <w:rFonts w:ascii="Tahoma" w:eastAsia="Times New Roman" w:hAnsi="Tahoma" w:cs="Tahoma"/>
                              <w:b/>
                              <w:bCs/>
                              <w:color w:val="4E3487"/>
                              <w:sz w:val="21"/>
                              <w:szCs w:val="21"/>
                            </w:rPr>
                            <w:t>open letter to the Secretary of State for Health</w:t>
                          </w:r>
                        </w:hyperlink>
                        <w:r>
                          <w:rPr>
                            <w:rFonts w:ascii="Tahoma" w:eastAsia="Times New Roman" w:hAnsi="Tahoma" w:cs="Tahoma"/>
                            <w:color w:val="303030"/>
                            <w:sz w:val="21"/>
                            <w:szCs w:val="21"/>
                          </w:rPr>
                          <w:t>.</w:t>
                        </w:r>
                      </w:p>
                      <w:p w14:paraId="425C0D98" w14:textId="77777777" w:rsidR="0054366C" w:rsidRDefault="0054366C" w:rsidP="0054366C">
                        <w:pPr>
                          <w:pStyle w:val="NormalWeb"/>
                          <w:spacing w:before="0" w:beforeAutospacing="0" w:after="0" w:afterAutospacing="0" w:line="264" w:lineRule="auto"/>
                          <w:rPr>
                            <w:rFonts w:ascii="Tahoma" w:hAnsi="Tahoma" w:cs="Tahoma"/>
                            <w:color w:val="303030"/>
                            <w:sz w:val="21"/>
                            <w:szCs w:val="21"/>
                          </w:rPr>
                        </w:pPr>
                      </w:p>
                      <w:p w14:paraId="4FCDC9AF" w14:textId="4A4E8BF5" w:rsidR="0054366C" w:rsidRDefault="0054366C" w:rsidP="0054366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remains in contact with the Department of Health and Social Care (DHSC) over the festive period and will provide further updates as and when new information is available.</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Read the full update on antibiotics supply</w:t>
                          </w:r>
                        </w:hyperlink>
                      </w:p>
                      <w:p w14:paraId="24BF2275" w14:textId="77777777" w:rsidR="0054366C" w:rsidRDefault="0054366C" w:rsidP="0054366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5F05B81">
                            <v:rect id="_x0000_i1035" style="width:468pt;height:1.5pt" o:hrstd="t" o:hr="t" fillcolor="#a0a0a0" stroked="f"/>
                          </w:pict>
                        </w:r>
                      </w:p>
                      <w:p w14:paraId="05B70CC0" w14:textId="77777777" w:rsidR="0054366C" w:rsidRDefault="0054366C" w:rsidP="0054366C">
                        <w:pPr>
                          <w:pStyle w:val="Heading3"/>
                          <w:spacing w:after="0"/>
                          <w:rPr>
                            <w:rFonts w:eastAsia="Times New Roman"/>
                          </w:rPr>
                        </w:pPr>
                      </w:p>
                      <w:p w14:paraId="53999AD9" w14:textId="60826705" w:rsidR="0054366C" w:rsidRDefault="0054366C" w:rsidP="0054366C">
                        <w:pPr>
                          <w:pStyle w:val="Heading3"/>
                          <w:spacing w:after="0"/>
                          <w:rPr>
                            <w:rFonts w:eastAsia="Times New Roman"/>
                          </w:rPr>
                        </w:pPr>
                        <w:r>
                          <w:rPr>
                            <w:rFonts w:eastAsia="Times New Roman"/>
                          </w:rPr>
                          <w:lastRenderedPageBreak/>
                          <w:t>Drug Tariff Watch - January 2023</w:t>
                        </w:r>
                      </w:p>
                      <w:p w14:paraId="46D66773" w14:textId="77777777" w:rsidR="0054366C" w:rsidRDefault="0054366C" w:rsidP="0054366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well as the Category M prices referenced above, contractors and their teams should also take note of these other Drug Tariff changes that will be introduced from 1st January 2023. PSNC's Dispensing and Supply Team has created a summary of these changes in their latest Drug Tariff Watch article. This includes details of additions and deletions, as well as category and price changes.</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Read January's Drug Tariff Watch</w:t>
                          </w:r>
                        </w:hyperlink>
                        <w:r>
                          <w:rPr>
                            <w:rFonts w:ascii="Tahoma" w:hAnsi="Tahoma" w:cs="Tahoma"/>
                            <w:color w:val="303030"/>
                            <w:sz w:val="21"/>
                            <w:szCs w:val="21"/>
                          </w:rPr>
                          <w:br/>
                        </w:r>
                        <w:r>
                          <w:rPr>
                            <w:rFonts w:ascii="Tahoma" w:hAnsi="Tahoma" w:cs="Tahoma"/>
                            <w:color w:val="303030"/>
                            <w:sz w:val="21"/>
                            <w:szCs w:val="21"/>
                          </w:rPr>
                          <w:br/>
                          <w:t>Changes of note include:</w:t>
                        </w:r>
                        <w:r>
                          <w:rPr>
                            <w:rFonts w:ascii="Tahoma" w:hAnsi="Tahoma" w:cs="Tahoma"/>
                            <w:color w:val="303030"/>
                            <w:sz w:val="21"/>
                            <w:szCs w:val="21"/>
                          </w:rPr>
                          <w:br/>
                        </w:r>
                        <w:r>
                          <w:rPr>
                            <w:rFonts w:ascii="Tahoma" w:hAnsi="Tahoma" w:cs="Tahoma"/>
                            <w:color w:val="303030"/>
                            <w:sz w:val="21"/>
                            <w:szCs w:val="21"/>
                          </w:rPr>
                          <w:br/>
                        </w:r>
                        <w:proofErr w:type="spellStart"/>
                        <w:r>
                          <w:rPr>
                            <w:rStyle w:val="Strong"/>
                            <w:rFonts w:ascii="Tahoma" w:hAnsi="Tahoma" w:cs="Tahoma"/>
                            <w:color w:val="303030"/>
                            <w:sz w:val="21"/>
                            <w:szCs w:val="21"/>
                          </w:rPr>
                          <w:t>FreeStyle</w:t>
                        </w:r>
                        <w:proofErr w:type="spellEnd"/>
                        <w:r>
                          <w:rPr>
                            <w:rStyle w:val="Strong"/>
                            <w:rFonts w:ascii="Tahoma" w:hAnsi="Tahoma" w:cs="Tahoma"/>
                            <w:color w:val="303030"/>
                            <w:sz w:val="21"/>
                            <w:szCs w:val="21"/>
                          </w:rPr>
                          <w:t xml:space="preserve"> Libre Sensors</w:t>
                        </w:r>
                        <w:r>
                          <w:rPr>
                            <w:rFonts w:ascii="Tahoma" w:hAnsi="Tahoma" w:cs="Tahoma"/>
                            <w:color w:val="303030"/>
                            <w:sz w:val="21"/>
                            <w:szCs w:val="21"/>
                          </w:rPr>
                          <w:br/>
                          <w:t xml:space="preserve">The original </w:t>
                        </w:r>
                        <w:proofErr w:type="spellStart"/>
                        <w:r>
                          <w:rPr>
                            <w:rFonts w:ascii="Tahoma" w:hAnsi="Tahoma" w:cs="Tahoma"/>
                            <w:color w:val="303030"/>
                            <w:sz w:val="21"/>
                            <w:szCs w:val="21"/>
                          </w:rPr>
                          <w:t>FreeStyle</w:t>
                        </w:r>
                        <w:proofErr w:type="spellEnd"/>
                        <w:r>
                          <w:rPr>
                            <w:rFonts w:ascii="Tahoma" w:hAnsi="Tahoma" w:cs="Tahoma"/>
                            <w:color w:val="303030"/>
                            <w:sz w:val="21"/>
                            <w:szCs w:val="21"/>
                          </w:rPr>
                          <w:t xml:space="preserve"> Libre Sensors will be deleted from Part IXA of the Drug Tariff from January 2023. Any EPS or paper prescriptions for these sensors must be submitted to NHSBSA by 5th January 2023, otherwise they will not be passed for payment.</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 xml:space="preserve">Read more about the removal of </w:t>
                          </w:r>
                          <w:proofErr w:type="spellStart"/>
                          <w:r>
                            <w:rPr>
                              <w:rStyle w:val="Hyperlink"/>
                              <w:rFonts w:ascii="Tahoma" w:hAnsi="Tahoma" w:cs="Tahoma"/>
                              <w:b/>
                              <w:bCs/>
                              <w:color w:val="4E3487"/>
                              <w:sz w:val="21"/>
                              <w:szCs w:val="21"/>
                            </w:rPr>
                            <w:t>FreeStyle</w:t>
                          </w:r>
                          <w:proofErr w:type="spellEnd"/>
                          <w:r>
                            <w:rPr>
                              <w:rStyle w:val="Hyperlink"/>
                              <w:rFonts w:ascii="Tahoma" w:hAnsi="Tahoma" w:cs="Tahoma"/>
                              <w:b/>
                              <w:bCs/>
                              <w:color w:val="4E3487"/>
                              <w:sz w:val="21"/>
                              <w:szCs w:val="21"/>
                            </w:rPr>
                            <w:t xml:space="preserve"> Libre Sensors</w:t>
                          </w:r>
                        </w:hyperlink>
                        <w:r>
                          <w:rPr>
                            <w:rFonts w:ascii="Tahoma" w:hAnsi="Tahoma" w:cs="Tahoma"/>
                            <w:color w:val="303030"/>
                            <w:sz w:val="21"/>
                            <w:szCs w:val="21"/>
                          </w:rPr>
                          <w:br/>
                        </w:r>
                        <w:r>
                          <w:rPr>
                            <w:rFonts w:ascii="Tahoma" w:hAnsi="Tahoma" w:cs="Tahoma"/>
                            <w:color w:val="303030"/>
                            <w:sz w:val="21"/>
                            <w:szCs w:val="21"/>
                          </w:rPr>
                          <w:br/>
                        </w:r>
                        <w:proofErr w:type="spellStart"/>
                        <w:r>
                          <w:rPr>
                            <w:rStyle w:val="Strong"/>
                            <w:rFonts w:ascii="Tahoma" w:hAnsi="Tahoma" w:cs="Tahoma"/>
                            <w:color w:val="303030"/>
                            <w:sz w:val="21"/>
                            <w:szCs w:val="21"/>
                          </w:rPr>
                          <w:t>Madopar</w:t>
                        </w:r>
                        <w:proofErr w:type="spellEnd"/>
                        <w:r>
                          <w:rPr>
                            <w:rStyle w:val="Strong"/>
                            <w:rFonts w:ascii="Tahoma" w:hAnsi="Tahoma" w:cs="Tahoma"/>
                            <w:color w:val="303030"/>
                            <w:sz w:val="21"/>
                            <w:szCs w:val="21"/>
                          </w:rPr>
                          <w:t>® preparations</w:t>
                        </w:r>
                        <w:r>
                          <w:rPr>
                            <w:rFonts w:ascii="Tahoma" w:hAnsi="Tahoma" w:cs="Tahoma"/>
                            <w:color w:val="303030"/>
                            <w:sz w:val="21"/>
                            <w:szCs w:val="21"/>
                          </w:rPr>
                          <w:br/>
                          <w:t xml:space="preserve">Following applications made by PSNC, all </w:t>
                        </w:r>
                        <w:proofErr w:type="spellStart"/>
                        <w:r>
                          <w:rPr>
                            <w:rFonts w:ascii="Tahoma" w:hAnsi="Tahoma" w:cs="Tahoma"/>
                            <w:color w:val="303030"/>
                            <w:sz w:val="21"/>
                            <w:szCs w:val="21"/>
                          </w:rPr>
                          <w:t>Madopar</w:t>
                        </w:r>
                        <w:proofErr w:type="spellEnd"/>
                        <w:r>
                          <w:rPr>
                            <w:rFonts w:ascii="Tahoma" w:hAnsi="Tahoma" w:cs="Tahoma"/>
                            <w:color w:val="303030"/>
                            <w:sz w:val="21"/>
                            <w:szCs w:val="21"/>
                          </w:rPr>
                          <w:t xml:space="preserve"> preparations were re-classified as special containers. This change has been reflected in the January Drug Tariff.</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 xml:space="preserve">Learn more about the re-classification of </w:t>
                          </w:r>
                          <w:proofErr w:type="spellStart"/>
                          <w:r>
                            <w:rPr>
                              <w:rStyle w:val="Hyperlink"/>
                              <w:rFonts w:ascii="Tahoma" w:hAnsi="Tahoma" w:cs="Tahoma"/>
                              <w:b/>
                              <w:bCs/>
                              <w:color w:val="4E3487"/>
                              <w:sz w:val="21"/>
                              <w:szCs w:val="21"/>
                            </w:rPr>
                            <w:t>Madopar</w:t>
                          </w:r>
                          <w:proofErr w:type="spellEnd"/>
                          <w:r>
                            <w:rPr>
                              <w:rStyle w:val="Hyperlink"/>
                              <w:rFonts w:ascii="Tahoma" w:hAnsi="Tahoma" w:cs="Tahoma"/>
                              <w:b/>
                              <w:bCs/>
                              <w:color w:val="4E3487"/>
                              <w:sz w:val="21"/>
                              <w:szCs w:val="21"/>
                            </w:rPr>
                            <w:t>® preparations</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Zero discount changes</w:t>
                        </w:r>
                        <w:r>
                          <w:rPr>
                            <w:rFonts w:ascii="Tahoma" w:hAnsi="Tahoma" w:cs="Tahoma"/>
                            <w:color w:val="303030"/>
                            <w:sz w:val="21"/>
                            <w:szCs w:val="21"/>
                          </w:rPr>
                          <w:br/>
                          <w:t>As part of PSNC's work to review the status of thousands of items, eleven products will enter the list of 'Drugs for which Discount is Not Deducted' (DND) in January.</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View our DND status changes page</w:t>
                          </w:r>
                        </w:hyperlink>
                      </w:p>
                    </w:tc>
                    <w:tc>
                      <w:tcPr>
                        <w:tcW w:w="150" w:type="dxa"/>
                        <w:vAlign w:val="center"/>
                        <w:hideMark/>
                      </w:tcPr>
                      <w:p w14:paraId="2A4B80D8" w14:textId="77777777" w:rsidR="0054366C" w:rsidRDefault="0054366C">
                        <w:pPr>
                          <w:rPr>
                            <w:rFonts w:ascii="Tahoma" w:hAnsi="Tahoma" w:cs="Tahoma"/>
                            <w:color w:val="303030"/>
                            <w:sz w:val="21"/>
                            <w:szCs w:val="21"/>
                          </w:rPr>
                        </w:pPr>
                      </w:p>
                    </w:tc>
                  </w:tr>
                  <w:tr w:rsidR="0054366C" w14:paraId="5A4CD7FF" w14:textId="77777777">
                    <w:trPr>
                      <w:trHeight w:val="150"/>
                      <w:tblCellSpacing w:w="15" w:type="dxa"/>
                      <w:jc w:val="center"/>
                    </w:trPr>
                    <w:tc>
                      <w:tcPr>
                        <w:tcW w:w="150" w:type="dxa"/>
                        <w:vAlign w:val="center"/>
                        <w:hideMark/>
                      </w:tcPr>
                      <w:p w14:paraId="1FC66C9A" w14:textId="77777777" w:rsidR="0054366C" w:rsidRDefault="0054366C">
                        <w:pPr>
                          <w:rPr>
                            <w:rFonts w:ascii="Times New Roman" w:eastAsia="Times New Roman" w:hAnsi="Times New Roman" w:cs="Times New Roman"/>
                            <w:sz w:val="20"/>
                            <w:szCs w:val="20"/>
                          </w:rPr>
                        </w:pPr>
                      </w:p>
                    </w:tc>
                    <w:tc>
                      <w:tcPr>
                        <w:tcW w:w="8700" w:type="dxa"/>
                        <w:vAlign w:val="center"/>
                        <w:hideMark/>
                      </w:tcPr>
                      <w:p w14:paraId="1A411F4C" w14:textId="77777777" w:rsidR="0054366C" w:rsidRDefault="0054366C">
                        <w:pPr>
                          <w:rPr>
                            <w:rFonts w:ascii="Times New Roman" w:eastAsia="Times New Roman" w:hAnsi="Times New Roman" w:cs="Times New Roman"/>
                            <w:sz w:val="20"/>
                            <w:szCs w:val="20"/>
                          </w:rPr>
                        </w:pPr>
                      </w:p>
                    </w:tc>
                    <w:tc>
                      <w:tcPr>
                        <w:tcW w:w="150" w:type="dxa"/>
                        <w:vAlign w:val="center"/>
                        <w:hideMark/>
                      </w:tcPr>
                      <w:p w14:paraId="4F5A67CC" w14:textId="77777777" w:rsidR="0054366C" w:rsidRDefault="0054366C">
                        <w:pPr>
                          <w:rPr>
                            <w:rFonts w:ascii="Times New Roman" w:eastAsia="Times New Roman" w:hAnsi="Times New Roman" w:cs="Times New Roman"/>
                            <w:sz w:val="20"/>
                            <w:szCs w:val="20"/>
                          </w:rPr>
                        </w:pPr>
                      </w:p>
                    </w:tc>
                  </w:tr>
                </w:tbl>
                <w:p w14:paraId="51073823" w14:textId="77777777" w:rsidR="0054366C" w:rsidRDefault="0054366C">
                  <w:pPr>
                    <w:jc w:val="center"/>
                    <w:rPr>
                      <w:rFonts w:ascii="Times New Roman" w:eastAsia="Times New Roman" w:hAnsi="Times New Roman" w:cs="Times New Roman"/>
                      <w:sz w:val="20"/>
                      <w:szCs w:val="20"/>
                    </w:rPr>
                  </w:pPr>
                </w:p>
              </w:tc>
            </w:tr>
          </w:tbl>
          <w:p w14:paraId="5E10A92F" w14:textId="77777777" w:rsidR="0054366C" w:rsidRDefault="0054366C">
            <w:pPr>
              <w:jc w:val="center"/>
              <w:rPr>
                <w:rFonts w:ascii="Times New Roman" w:eastAsia="Times New Roman" w:hAnsi="Times New Roman" w:cs="Times New Roman"/>
                <w:sz w:val="20"/>
                <w:szCs w:val="20"/>
              </w:rPr>
            </w:pPr>
          </w:p>
        </w:tc>
      </w:tr>
      <w:tr w:rsidR="0054366C" w14:paraId="57AD601F" w14:textId="77777777" w:rsidTr="0054366C">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4366C" w14:paraId="00AD778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4366C" w14:paraId="0A4A8C92" w14:textId="77777777">
                    <w:trPr>
                      <w:tblCellSpacing w:w="0" w:type="dxa"/>
                      <w:jc w:val="center"/>
                    </w:trPr>
                    <w:tc>
                      <w:tcPr>
                        <w:tcW w:w="3000" w:type="dxa"/>
                        <w:tcMar>
                          <w:top w:w="30" w:type="dxa"/>
                          <w:left w:w="75" w:type="dxa"/>
                          <w:bottom w:w="30" w:type="dxa"/>
                          <w:right w:w="75" w:type="dxa"/>
                        </w:tcMar>
                        <w:hideMark/>
                      </w:tcPr>
                      <w:p w14:paraId="261B10A9" w14:textId="77777777" w:rsidR="0054366C" w:rsidRDefault="0054366C">
                        <w:pPr>
                          <w:pStyle w:val="Heading4"/>
                          <w:jc w:val="center"/>
                          <w:rPr>
                            <w:rFonts w:eastAsia="Times New Roman"/>
                          </w:rPr>
                        </w:pPr>
                        <w:r>
                          <w:rPr>
                            <w:rFonts w:eastAsia="Times New Roman"/>
                          </w:rPr>
                          <w:lastRenderedPageBreak/>
                          <w:t>Pharmaceutical Services Negotiating Committee</w:t>
                        </w:r>
                      </w:p>
                      <w:p w14:paraId="775AF823" w14:textId="55CAA831" w:rsidR="0054366C" w:rsidRDefault="0054366C">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0F352E9" wp14:editId="18036872">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1C06F9D" wp14:editId="40B4BC9B">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E86B200" wp14:editId="655592BD">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0678D48" wp14:editId="6B319FFD">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7EE4143" w14:textId="77777777" w:rsidR="0054366C" w:rsidRDefault="0054366C">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54366C" w14:paraId="2CD6AF3E" w14:textId="77777777" w:rsidTr="0054366C">
                    <w:trPr>
                      <w:trHeight w:val="88"/>
                      <w:tblCellSpacing w:w="0" w:type="dxa"/>
                      <w:jc w:val="center"/>
                    </w:trPr>
                    <w:tc>
                      <w:tcPr>
                        <w:tcW w:w="9000" w:type="dxa"/>
                        <w:tcMar>
                          <w:top w:w="150" w:type="dxa"/>
                          <w:left w:w="0" w:type="dxa"/>
                          <w:bottom w:w="0" w:type="dxa"/>
                          <w:right w:w="0" w:type="dxa"/>
                        </w:tcMar>
                        <w:vAlign w:val="center"/>
                        <w:hideMark/>
                      </w:tcPr>
                      <w:p w14:paraId="68FF7FCC" w14:textId="67E40C30" w:rsidR="0054366C" w:rsidRDefault="0054366C" w:rsidP="0054366C">
                        <w:pPr>
                          <w:rPr>
                            <w:rFonts w:ascii="Arial" w:eastAsia="Times New Roman" w:hAnsi="Arial" w:cs="Arial"/>
                            <w:color w:val="FFFFFF"/>
                            <w:sz w:val="17"/>
                            <w:szCs w:val="17"/>
                          </w:rPr>
                        </w:pPr>
                      </w:p>
                    </w:tc>
                  </w:tr>
                </w:tbl>
                <w:p w14:paraId="430DBA36" w14:textId="77777777" w:rsidR="0054366C" w:rsidRDefault="0054366C">
                  <w:pPr>
                    <w:jc w:val="center"/>
                    <w:rPr>
                      <w:rFonts w:ascii="Times New Roman" w:eastAsia="Times New Roman" w:hAnsi="Times New Roman" w:cs="Times New Roman"/>
                      <w:sz w:val="20"/>
                      <w:szCs w:val="20"/>
                    </w:rPr>
                  </w:pPr>
                </w:p>
              </w:tc>
            </w:tr>
          </w:tbl>
          <w:p w14:paraId="19CFE5BE" w14:textId="77777777" w:rsidR="0054366C" w:rsidRDefault="0054366C">
            <w:pPr>
              <w:jc w:val="center"/>
              <w:rPr>
                <w:rFonts w:ascii="Times New Roman" w:eastAsia="Times New Roman" w:hAnsi="Times New Roman" w:cs="Times New Roman"/>
                <w:sz w:val="20"/>
                <w:szCs w:val="20"/>
              </w:rPr>
            </w:pPr>
          </w:p>
        </w:tc>
      </w:tr>
    </w:tbl>
    <w:p w14:paraId="314D7026" w14:textId="6F6C1E4A" w:rsidR="0054366C" w:rsidRDefault="0054366C" w:rsidP="0054366C">
      <w:pPr>
        <w:rPr>
          <w:rFonts w:eastAsia="Times New Roman"/>
        </w:rPr>
      </w:pPr>
      <w:r>
        <w:rPr>
          <w:rFonts w:eastAsia="Times New Roman"/>
          <w:noProof/>
        </w:rPr>
        <w:drawing>
          <wp:inline distT="0" distB="0" distL="0" distR="0" wp14:anchorId="2FA3D07C" wp14:editId="5C9F898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772F54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3CE0"/>
    <w:multiLevelType w:val="multilevel"/>
    <w:tmpl w:val="47982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424799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6C"/>
    <w:rsid w:val="0054366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3D77"/>
  <w15:chartTrackingRefBased/>
  <w15:docId w15:val="{597BD0F1-01C7-4BBC-A461-5DFFE86E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66C"/>
    <w:rPr>
      <w:rFonts w:ascii="Calibri" w:hAnsi="Calibri" w:cs="Calibri"/>
      <w:lang w:eastAsia="en-GB"/>
    </w:rPr>
  </w:style>
  <w:style w:type="paragraph" w:styleId="Heading1">
    <w:name w:val="heading 1"/>
    <w:basedOn w:val="Normal"/>
    <w:link w:val="Heading1Char"/>
    <w:uiPriority w:val="9"/>
    <w:qFormat/>
    <w:rsid w:val="0054366C"/>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4366C"/>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54366C"/>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54366C"/>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66C"/>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54366C"/>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54366C"/>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54366C"/>
    <w:rPr>
      <w:rFonts w:ascii="Tahoma" w:hAnsi="Tahoma" w:cs="Tahoma"/>
      <w:b/>
      <w:bCs/>
      <w:color w:val="FFFFFF"/>
      <w:sz w:val="18"/>
      <w:szCs w:val="18"/>
      <w:lang w:eastAsia="en-GB"/>
    </w:rPr>
  </w:style>
  <w:style w:type="paragraph" w:styleId="NormalWeb">
    <w:name w:val="Normal (Web)"/>
    <w:basedOn w:val="Normal"/>
    <w:uiPriority w:val="99"/>
    <w:semiHidden/>
    <w:unhideWhenUsed/>
    <w:rsid w:val="0054366C"/>
    <w:pPr>
      <w:spacing w:before="100" w:beforeAutospacing="1" w:after="100" w:afterAutospacing="1"/>
    </w:pPr>
  </w:style>
  <w:style w:type="character" w:styleId="Strong">
    <w:name w:val="Strong"/>
    <w:basedOn w:val="DefaultParagraphFont"/>
    <w:uiPriority w:val="22"/>
    <w:qFormat/>
    <w:rsid w:val="0054366C"/>
    <w:rPr>
      <w:b/>
      <w:bCs/>
    </w:rPr>
  </w:style>
  <w:style w:type="character" w:styleId="Hyperlink">
    <w:name w:val="Hyperlink"/>
    <w:basedOn w:val="DefaultParagraphFont"/>
    <w:uiPriority w:val="99"/>
    <w:semiHidden/>
    <w:unhideWhenUsed/>
    <w:rsid w:val="005436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9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24d579baf5&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8139ad8fcc&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3964a9ded4&amp;e=d19e9fd41c"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5fce2b2f42&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7fa3613dfb&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psnc.us7.list-manage.com/track/click?u=86d41ab7fa4c7c2c5d7210782&amp;id=52b9a07722&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5e7912ee27&amp;e=d19e9fd41c" TargetMode="External"/><Relationship Id="rId19" Type="http://schemas.openxmlformats.org/officeDocument/2006/relationships/hyperlink" Target="https://psnc.us7.list-manage.com/track/click?u=86d41ab7fa4c7c2c5d7210782&amp;id=daab978445&amp;e=d19e9fd4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90bc51f6cb&amp;e=d19e9fd41c" TargetMode="External"/><Relationship Id="rId14" Type="http://schemas.openxmlformats.org/officeDocument/2006/relationships/hyperlink" Target="https://psnc.us7.list-manage.com/track/click?u=86d41ab7fa4c7c2c5d7210782&amp;id=7512054896&amp;e=d19e9fd41c" TargetMode="External"/><Relationship Id="rId22" Type="http://schemas.openxmlformats.org/officeDocument/2006/relationships/hyperlink" Target="https://psnc.us7.list-manage.com/track/click?u=86d41ab7fa4c7c2c5d7210782&amp;id=c2fdc71a07&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db31ad764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2022-12-29T09:56:00Z</dcterms:created>
  <dcterms:modified xsi:type="dcterms:W3CDTF">2022-12-29T10:02:00Z</dcterms:modified>
</cp:coreProperties>
</file>