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71374E" w14:paraId="633EB657" w14:textId="77777777" w:rsidTr="0071374E">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71374E" w14:paraId="6B782CB1" w14:textId="77777777" w:rsidTr="00230555">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71374E" w14:paraId="1B6D8D15" w14:textId="77777777">
                    <w:trPr>
                      <w:tblCellSpacing w:w="0" w:type="dxa"/>
                      <w:jc w:val="center"/>
                    </w:trPr>
                    <w:tc>
                      <w:tcPr>
                        <w:tcW w:w="3000" w:type="dxa"/>
                        <w:hideMark/>
                      </w:tcPr>
                      <w:p w14:paraId="01D31F89" w14:textId="0ECA3EF5" w:rsidR="0071374E" w:rsidRDefault="00230555" w:rsidP="00230555">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4CA2EF4" w14:textId="77777777" w:rsidR="0071374E" w:rsidRDefault="0071374E">
                  <w:pPr>
                    <w:jc w:val="center"/>
                    <w:rPr>
                      <w:rFonts w:ascii="Times New Roman" w:eastAsia="Times New Roman" w:hAnsi="Times New Roman" w:cs="Times New Roman"/>
                      <w:sz w:val="20"/>
                      <w:szCs w:val="20"/>
                    </w:rPr>
                  </w:pPr>
                </w:p>
              </w:tc>
            </w:tr>
            <w:tr w:rsidR="0071374E" w14:paraId="724CDDDA" w14:textId="77777777" w:rsidTr="00230555">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71374E" w14:paraId="6BE0E6FF"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0BB48B4" w14:textId="7F207A4E" w:rsidR="0071374E" w:rsidRDefault="0071374E">
                        <w:pPr>
                          <w:jc w:val="center"/>
                          <w:rPr>
                            <w:rFonts w:eastAsia="Times New Roman"/>
                          </w:rPr>
                        </w:pPr>
                        <w:r>
                          <w:rPr>
                            <w:rFonts w:eastAsia="Times New Roman"/>
                            <w:noProof/>
                          </w:rPr>
                          <w:drawing>
                            <wp:inline distT="0" distB="0" distL="0" distR="0" wp14:anchorId="0B723A31" wp14:editId="66705958">
                              <wp:extent cx="930275" cy="662305"/>
                              <wp:effectExtent l="0" t="0" r="317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0275" cy="662305"/>
                                      </a:xfrm>
                                      <a:prstGeom prst="rect">
                                        <a:avLst/>
                                      </a:prstGeom>
                                      <a:noFill/>
                                      <a:ln>
                                        <a:noFill/>
                                      </a:ln>
                                    </pic:spPr>
                                  </pic:pic>
                                </a:graphicData>
                              </a:graphic>
                            </wp:inline>
                          </w:drawing>
                        </w:r>
                      </w:p>
                    </w:tc>
                  </w:tr>
                  <w:tr w:rsidR="0071374E" w14:paraId="10FCA502" w14:textId="77777777">
                    <w:trPr>
                      <w:tblCellSpacing w:w="0" w:type="dxa"/>
                    </w:trPr>
                    <w:tc>
                      <w:tcPr>
                        <w:tcW w:w="0" w:type="auto"/>
                        <w:vMerge/>
                        <w:tcBorders>
                          <w:top w:val="nil"/>
                          <w:left w:val="nil"/>
                          <w:bottom w:val="single" w:sz="2" w:space="0" w:color="FFFFFF"/>
                          <w:right w:val="nil"/>
                        </w:tcBorders>
                        <w:vAlign w:val="center"/>
                        <w:hideMark/>
                      </w:tcPr>
                      <w:p w14:paraId="2E0ABB06" w14:textId="77777777" w:rsidR="0071374E" w:rsidRDefault="0071374E">
                        <w:pPr>
                          <w:rPr>
                            <w:rFonts w:eastAsia="Times New Roman"/>
                          </w:rPr>
                        </w:pPr>
                      </w:p>
                    </w:tc>
                    <w:tc>
                      <w:tcPr>
                        <w:tcW w:w="3450" w:type="dxa"/>
                        <w:tcBorders>
                          <w:top w:val="nil"/>
                          <w:left w:val="nil"/>
                          <w:bottom w:val="nil"/>
                          <w:right w:val="nil"/>
                        </w:tcBorders>
                        <w:vAlign w:val="center"/>
                        <w:hideMark/>
                      </w:tcPr>
                      <w:p w14:paraId="6CB5AEB7" w14:textId="77777777" w:rsidR="0071374E" w:rsidRDefault="0071374E">
                        <w:pPr>
                          <w:pStyle w:val="Heading1"/>
                          <w:rPr>
                            <w:rFonts w:eastAsia="Times New Roman"/>
                          </w:rPr>
                        </w:pPr>
                        <w:r>
                          <w:rPr>
                            <w:rFonts w:eastAsia="Times New Roman"/>
                          </w:rPr>
                          <w:t>PSNC Newsletter</w:t>
                        </w:r>
                      </w:p>
                    </w:tc>
                  </w:tr>
                  <w:tr w:rsidR="0071374E" w14:paraId="173CAB17" w14:textId="77777777">
                    <w:trPr>
                      <w:tblCellSpacing w:w="0" w:type="dxa"/>
                    </w:trPr>
                    <w:tc>
                      <w:tcPr>
                        <w:tcW w:w="0" w:type="auto"/>
                        <w:vMerge/>
                        <w:tcBorders>
                          <w:top w:val="nil"/>
                          <w:left w:val="nil"/>
                          <w:bottom w:val="single" w:sz="2" w:space="0" w:color="FFFFFF"/>
                          <w:right w:val="nil"/>
                        </w:tcBorders>
                        <w:vAlign w:val="center"/>
                        <w:hideMark/>
                      </w:tcPr>
                      <w:p w14:paraId="47530163" w14:textId="77777777" w:rsidR="0071374E" w:rsidRDefault="0071374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6690DA1" w14:textId="77777777" w:rsidR="0071374E" w:rsidRDefault="0071374E">
                        <w:pPr>
                          <w:pStyle w:val="Heading2"/>
                          <w:rPr>
                            <w:rFonts w:eastAsia="Times New Roman"/>
                            <w:color w:val="93378A"/>
                          </w:rPr>
                        </w:pPr>
                        <w:r>
                          <w:rPr>
                            <w:rFonts w:eastAsia="Times New Roman"/>
                            <w:color w:val="93378A"/>
                          </w:rPr>
                          <w:t>Monday 23rd January 2023</w:t>
                        </w:r>
                      </w:p>
                    </w:tc>
                  </w:tr>
                </w:tbl>
                <w:p w14:paraId="0D7C3D6B" w14:textId="77777777" w:rsidR="0071374E" w:rsidRDefault="0071374E">
                  <w:pPr>
                    <w:rPr>
                      <w:rFonts w:ascii="Times New Roman" w:eastAsia="Times New Roman" w:hAnsi="Times New Roman" w:cs="Times New Roman"/>
                      <w:sz w:val="20"/>
                      <w:szCs w:val="20"/>
                    </w:rPr>
                  </w:pPr>
                </w:p>
              </w:tc>
            </w:tr>
            <w:tr w:rsidR="0071374E" w14:paraId="206CF7D7" w14:textId="77777777" w:rsidTr="00230555">
              <w:tblPrEx>
                <w:shd w:val="clear" w:color="auto" w:fill="auto"/>
              </w:tblPrEx>
              <w:trPr>
                <w:tblCellSpacing w:w="0" w:type="dxa"/>
                <w:jc w:val="center"/>
              </w:trPr>
              <w:tc>
                <w:tcPr>
                  <w:tcW w:w="9026" w:type="dxa"/>
                  <w:gridSpan w:val="2"/>
                  <w:hideMark/>
                </w:tcPr>
                <w:p w14:paraId="09E7E5F1" w14:textId="66A754EE" w:rsidR="0071374E" w:rsidRDefault="0071374E">
                  <w:pPr>
                    <w:rPr>
                      <w:rFonts w:eastAsia="Times New Roman"/>
                    </w:rPr>
                  </w:pPr>
                  <w:r>
                    <w:rPr>
                      <w:rFonts w:eastAsia="Times New Roman"/>
                      <w:noProof/>
                    </w:rPr>
                    <w:drawing>
                      <wp:inline distT="0" distB="0" distL="0" distR="0" wp14:anchorId="382F2179" wp14:editId="79C71CC3">
                        <wp:extent cx="5722620" cy="205105"/>
                        <wp:effectExtent l="0" t="0" r="1143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2620" cy="205105"/>
                                </a:xfrm>
                                <a:prstGeom prst="rect">
                                  <a:avLst/>
                                </a:prstGeom>
                                <a:noFill/>
                                <a:ln>
                                  <a:noFill/>
                                </a:ln>
                              </pic:spPr>
                            </pic:pic>
                          </a:graphicData>
                        </a:graphic>
                      </wp:inline>
                    </w:drawing>
                  </w:r>
                </w:p>
              </w:tc>
            </w:tr>
            <w:tr w:rsidR="0071374E" w14:paraId="00A743B6" w14:textId="77777777" w:rsidTr="00230555">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71374E" w14:paraId="5C115D3A" w14:textId="77777777">
                    <w:trPr>
                      <w:trHeight w:val="150"/>
                      <w:tblCellSpacing w:w="15" w:type="dxa"/>
                      <w:jc w:val="center"/>
                    </w:trPr>
                    <w:tc>
                      <w:tcPr>
                        <w:tcW w:w="150" w:type="dxa"/>
                        <w:vAlign w:val="center"/>
                        <w:hideMark/>
                      </w:tcPr>
                      <w:p w14:paraId="0F6CA9CE" w14:textId="77777777" w:rsidR="0071374E" w:rsidRDefault="0071374E">
                        <w:pPr>
                          <w:rPr>
                            <w:rFonts w:eastAsia="Times New Roman"/>
                          </w:rPr>
                        </w:pPr>
                      </w:p>
                    </w:tc>
                    <w:tc>
                      <w:tcPr>
                        <w:tcW w:w="8700" w:type="dxa"/>
                        <w:vAlign w:val="center"/>
                        <w:hideMark/>
                      </w:tcPr>
                      <w:p w14:paraId="56BB0E3D" w14:textId="77777777" w:rsidR="0071374E" w:rsidRDefault="0071374E">
                        <w:pPr>
                          <w:rPr>
                            <w:rFonts w:ascii="Times New Roman" w:eastAsia="Times New Roman" w:hAnsi="Times New Roman" w:cs="Times New Roman"/>
                            <w:sz w:val="20"/>
                            <w:szCs w:val="20"/>
                          </w:rPr>
                        </w:pPr>
                      </w:p>
                    </w:tc>
                    <w:tc>
                      <w:tcPr>
                        <w:tcW w:w="150" w:type="dxa"/>
                        <w:vAlign w:val="center"/>
                        <w:hideMark/>
                      </w:tcPr>
                      <w:p w14:paraId="611E2229" w14:textId="77777777" w:rsidR="0071374E" w:rsidRDefault="0071374E">
                        <w:pPr>
                          <w:rPr>
                            <w:rFonts w:ascii="Times New Roman" w:eastAsia="Times New Roman" w:hAnsi="Times New Roman" w:cs="Times New Roman"/>
                            <w:sz w:val="20"/>
                            <w:szCs w:val="20"/>
                          </w:rPr>
                        </w:pPr>
                      </w:p>
                    </w:tc>
                  </w:tr>
                  <w:tr w:rsidR="0071374E" w14:paraId="36D4AE51" w14:textId="77777777">
                    <w:trPr>
                      <w:tblCellSpacing w:w="15" w:type="dxa"/>
                      <w:jc w:val="center"/>
                    </w:trPr>
                    <w:tc>
                      <w:tcPr>
                        <w:tcW w:w="150" w:type="dxa"/>
                        <w:vAlign w:val="center"/>
                        <w:hideMark/>
                      </w:tcPr>
                      <w:p w14:paraId="21326E36" w14:textId="77777777" w:rsidR="0071374E" w:rsidRDefault="0071374E">
                        <w:pPr>
                          <w:rPr>
                            <w:rFonts w:ascii="Times New Roman" w:eastAsia="Times New Roman" w:hAnsi="Times New Roman" w:cs="Times New Roman"/>
                            <w:sz w:val="20"/>
                            <w:szCs w:val="20"/>
                          </w:rPr>
                        </w:pPr>
                      </w:p>
                    </w:tc>
                    <w:tc>
                      <w:tcPr>
                        <w:tcW w:w="8700" w:type="dxa"/>
                        <w:vAlign w:val="center"/>
                        <w:hideMark/>
                      </w:tcPr>
                      <w:p w14:paraId="26BAD5ED" w14:textId="77777777" w:rsidR="0071374E" w:rsidRDefault="0071374E" w:rsidP="0023055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8ADA370" w14:textId="77777777" w:rsidR="0071374E" w:rsidRDefault="0071374E" w:rsidP="0023055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323F73A">
                            <v:rect id="_x0000_i1032" style="width:468pt;height:1.5pt" o:hrstd="t" o:hr="t" fillcolor="#a0a0a0" stroked="f"/>
                          </w:pict>
                        </w:r>
                      </w:p>
                      <w:p w14:paraId="6863DE52" w14:textId="77777777" w:rsidR="0071374E" w:rsidRDefault="0071374E" w:rsidP="00230555">
                        <w:pPr>
                          <w:pStyle w:val="Heading2"/>
                          <w:spacing w:after="0"/>
                          <w:rPr>
                            <w:rFonts w:eastAsia="Times New Roman"/>
                          </w:rPr>
                        </w:pPr>
                        <w:r>
                          <w:rPr>
                            <w:rFonts w:eastAsia="Times New Roman"/>
                          </w:rPr>
                          <w:t>In this update: MPs call to protect future of pharmacy; DHSC to remove Transitional Payments; supply notice.</w:t>
                        </w:r>
                      </w:p>
                      <w:p w14:paraId="5A54D970" w14:textId="77777777" w:rsidR="0071374E" w:rsidRDefault="0071374E" w:rsidP="0023055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5D01E80">
                            <v:rect id="_x0000_i1033" style="width:468pt;height:1.5pt" o:hrstd="t" o:hr="t" fillcolor="#a0a0a0" stroked="f"/>
                          </w:pict>
                        </w:r>
                      </w:p>
                      <w:p w14:paraId="04267BE0" w14:textId="77777777" w:rsidR="0071374E" w:rsidRDefault="0071374E" w:rsidP="00230555">
                        <w:pPr>
                          <w:pStyle w:val="Heading2"/>
                          <w:spacing w:after="0"/>
                          <w:rPr>
                            <w:rFonts w:eastAsia="Times New Roman"/>
                          </w:rPr>
                        </w:pPr>
                        <w:r>
                          <w:rPr>
                            <w:rFonts w:eastAsia="Times New Roman"/>
                          </w:rPr>
                          <w:t xml:space="preserve">APPG publishes “The Future of Pharmacy </w:t>
                        </w:r>
                        <w:proofErr w:type="gramStart"/>
                        <w:r>
                          <w:rPr>
                            <w:rFonts w:eastAsia="Times New Roman"/>
                          </w:rPr>
                          <w:t>Manifesto”</w:t>
                        </w:r>
                        <w:proofErr w:type="gramEnd"/>
                      </w:p>
                      <w:p w14:paraId="536B0037" w14:textId="7FDDFCD7" w:rsidR="0071374E" w:rsidRDefault="0071374E" w:rsidP="0023055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 report published by the All-Party Parliamentary Group (APPG) on Pharmacy today calls for “urgent action” to relieve the significant funding and workforce pressures on community pharmacy and to deliver on the full potential of pharmacy teams. </w:t>
                        </w:r>
                      </w:p>
                      <w:p w14:paraId="0239BB05" w14:textId="77777777" w:rsidR="00230555" w:rsidRDefault="00230555" w:rsidP="00230555">
                        <w:pPr>
                          <w:spacing w:line="264" w:lineRule="auto"/>
                          <w:rPr>
                            <w:rFonts w:ascii="Tahoma" w:eastAsia="Times New Roman" w:hAnsi="Tahoma" w:cs="Tahoma"/>
                            <w:color w:val="303030"/>
                            <w:sz w:val="21"/>
                            <w:szCs w:val="21"/>
                          </w:rPr>
                        </w:pPr>
                      </w:p>
                      <w:p w14:paraId="4AF40E87" w14:textId="7BC86C7B" w:rsidR="0071374E" w:rsidRDefault="0071374E" w:rsidP="0023055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Future of Pharmacy: Manifesto report calls for a new “strategic vision” for pharmacies and highlights the opportunity to harness the potential of pharmacy teams to help tackle NHS backlogs. However, the report also warns that the Government must first urgently address the major issues confronting the sector.</w:t>
                        </w:r>
                      </w:p>
                      <w:p w14:paraId="52F69755" w14:textId="77777777" w:rsidR="00230555" w:rsidRDefault="00230555" w:rsidP="00230555">
                        <w:pPr>
                          <w:pStyle w:val="NormalWeb"/>
                          <w:spacing w:before="0" w:beforeAutospacing="0" w:after="0" w:afterAutospacing="0" w:line="264" w:lineRule="auto"/>
                          <w:rPr>
                            <w:rFonts w:ascii="Tahoma" w:hAnsi="Tahoma" w:cs="Tahoma"/>
                            <w:color w:val="303030"/>
                            <w:sz w:val="21"/>
                            <w:szCs w:val="21"/>
                          </w:rPr>
                        </w:pPr>
                      </w:p>
                      <w:p w14:paraId="0FDE3500" w14:textId="77777777" w:rsidR="0071374E" w:rsidRDefault="0071374E" w:rsidP="00230555">
                        <w:pPr>
                          <w:spacing w:line="264" w:lineRule="auto"/>
                          <w:rPr>
                            <w:rFonts w:ascii="Tahoma" w:eastAsia="Times New Roman" w:hAnsi="Tahoma" w:cs="Tahoma"/>
                            <w:color w:val="303030"/>
                            <w:sz w:val="21"/>
                            <w:szCs w:val="21"/>
                          </w:rPr>
                        </w:pPr>
                        <w:hyperlink r:id="rId8" w:tgtFrame="_blank" w:history="1">
                          <w:r>
                            <w:rPr>
                              <w:rStyle w:val="Hyperlink"/>
                              <w:rFonts w:ascii="Tahoma" w:eastAsia="Times New Roman" w:hAnsi="Tahoma" w:cs="Tahoma"/>
                              <w:b/>
                              <w:bCs/>
                              <w:color w:val="4E3487"/>
                              <w:sz w:val="21"/>
                              <w:szCs w:val="21"/>
                            </w:rPr>
                            <w:t>Read the Pharmacy APPG report</w:t>
                          </w:r>
                        </w:hyperlink>
                        <w:r>
                          <w:rPr>
                            <w:rFonts w:ascii="Tahoma" w:eastAsia="Times New Roman" w:hAnsi="Tahoma" w:cs="Tahoma"/>
                            <w:color w:val="303030"/>
                            <w:sz w:val="21"/>
                            <w:szCs w:val="21"/>
                          </w:rPr>
                          <w:t xml:space="preserve"> </w:t>
                        </w:r>
                      </w:p>
                      <w:p w14:paraId="5AA40050" w14:textId="77777777" w:rsidR="0071374E" w:rsidRDefault="0071374E" w:rsidP="0023055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C2ED157">
                            <v:rect id="_x0000_i1034" style="width:468pt;height:1.5pt" o:hrstd="t" o:hr="t" fillcolor="#a0a0a0" stroked="f"/>
                          </w:pict>
                        </w:r>
                      </w:p>
                      <w:p w14:paraId="60ACE98F" w14:textId="77777777" w:rsidR="0071374E" w:rsidRDefault="0071374E" w:rsidP="00230555">
                        <w:pPr>
                          <w:pStyle w:val="Heading2"/>
                          <w:spacing w:after="0"/>
                          <w:rPr>
                            <w:rFonts w:eastAsia="Times New Roman"/>
                          </w:rPr>
                        </w:pPr>
                        <w:r>
                          <w:rPr>
                            <w:rFonts w:eastAsia="Times New Roman"/>
                          </w:rPr>
                          <w:t xml:space="preserve">DHSC to remove Transitional Payments from next </w:t>
                        </w:r>
                        <w:proofErr w:type="gramStart"/>
                        <w:r>
                          <w:rPr>
                            <w:rFonts w:eastAsia="Times New Roman"/>
                          </w:rPr>
                          <w:t>month</w:t>
                        </w:r>
                        <w:proofErr w:type="gramEnd"/>
                      </w:p>
                      <w:p w14:paraId="6488ED63" w14:textId="591870F8" w:rsidR="0071374E" w:rsidRDefault="0071374E" w:rsidP="0023055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Department of Health and Social Care (DHSC) has decided to reduce the Transitional Payment to zero from February 2023. PSNC’s Negotiating Team refused to accept this on the grounds that any reductions in payments at this point will be impossible for community pharmacy contractors to manage financially. </w:t>
                        </w:r>
                      </w:p>
                      <w:p w14:paraId="19B2B2D0" w14:textId="77777777" w:rsidR="00230555" w:rsidRDefault="00230555" w:rsidP="00230555">
                        <w:pPr>
                          <w:spacing w:line="264" w:lineRule="auto"/>
                          <w:rPr>
                            <w:rFonts w:ascii="Tahoma" w:eastAsia="Times New Roman" w:hAnsi="Tahoma" w:cs="Tahoma"/>
                            <w:color w:val="303030"/>
                            <w:sz w:val="21"/>
                            <w:szCs w:val="21"/>
                          </w:rPr>
                        </w:pPr>
                      </w:p>
                      <w:p w14:paraId="7407D204" w14:textId="77828B6F" w:rsidR="0071374E" w:rsidRDefault="0071374E" w:rsidP="0023055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Commenting on the Department’s decision,</w:t>
                        </w:r>
                        <w:r>
                          <w:rPr>
                            <w:rStyle w:val="Strong"/>
                            <w:rFonts w:ascii="Tahoma" w:hAnsi="Tahoma" w:cs="Tahoma"/>
                            <w:color w:val="303030"/>
                            <w:sz w:val="21"/>
                            <w:szCs w:val="21"/>
                          </w:rPr>
                          <w:t> Janet Morrison, PSNC Chief Executive</w:t>
                        </w:r>
                        <w:r>
                          <w:rPr>
                            <w:rFonts w:ascii="Tahoma" w:hAnsi="Tahoma" w:cs="Tahoma"/>
                            <w:color w:val="303030"/>
                            <w:sz w:val="21"/>
                            <w:szCs w:val="21"/>
                          </w:rPr>
                          <w:t>, said that this “could not come at a worse time for community pharmacy businesses who by the Government’s own admission have been subjected to years of funding cuts. Pharmacies are on the brink of collapse and removing these payments now may be the final straw for some: we have made that absolutely clear.”</w:t>
                        </w:r>
                      </w:p>
                      <w:p w14:paraId="662C122A" w14:textId="77777777" w:rsidR="00230555" w:rsidRDefault="00230555" w:rsidP="00230555">
                        <w:pPr>
                          <w:pStyle w:val="NormalWeb"/>
                          <w:spacing w:before="0" w:beforeAutospacing="0" w:after="0" w:afterAutospacing="0" w:line="264" w:lineRule="auto"/>
                          <w:rPr>
                            <w:rFonts w:ascii="Tahoma" w:hAnsi="Tahoma" w:cs="Tahoma"/>
                            <w:color w:val="303030"/>
                            <w:sz w:val="21"/>
                            <w:szCs w:val="21"/>
                          </w:rPr>
                        </w:pPr>
                      </w:p>
                      <w:p w14:paraId="6B10E899" w14:textId="43C1C460" w:rsidR="0071374E" w:rsidRDefault="0071374E" w:rsidP="00230555">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 xml:space="preserve">Chair of PSNC’s Funding and Contract Subcommittee and Negotiating Team Member, Peter </w:t>
                        </w:r>
                        <w:proofErr w:type="spellStart"/>
                        <w:r>
                          <w:rPr>
                            <w:rStyle w:val="Strong"/>
                            <w:rFonts w:ascii="Tahoma" w:hAnsi="Tahoma" w:cs="Tahoma"/>
                            <w:color w:val="303030"/>
                            <w:sz w:val="21"/>
                            <w:szCs w:val="21"/>
                          </w:rPr>
                          <w:t>Cattee</w:t>
                        </w:r>
                        <w:proofErr w:type="spellEnd"/>
                        <w:r>
                          <w:rPr>
                            <w:rStyle w:val="Strong"/>
                            <w:rFonts w:ascii="Tahoma" w:hAnsi="Tahoma" w:cs="Tahoma"/>
                            <w:color w:val="303030"/>
                            <w:sz w:val="21"/>
                            <w:szCs w:val="21"/>
                          </w:rPr>
                          <w:t>, agreed, adding that “</w:t>
                        </w:r>
                        <w:r>
                          <w:rPr>
                            <w:rFonts w:ascii="Tahoma" w:hAnsi="Tahoma" w:cs="Tahoma"/>
                            <w:color w:val="303030"/>
                            <w:sz w:val="21"/>
                            <w:szCs w:val="21"/>
                          </w:rPr>
                          <w:t>we must continue to take whatever action is within our power to change Government minds and that decision before we see chaos in the network.”</w:t>
                        </w:r>
                      </w:p>
                      <w:p w14:paraId="7B977F06" w14:textId="77777777" w:rsidR="00230555" w:rsidRDefault="00230555" w:rsidP="00230555">
                        <w:pPr>
                          <w:pStyle w:val="NormalWeb"/>
                          <w:spacing w:before="0" w:beforeAutospacing="0" w:after="0" w:afterAutospacing="0" w:line="264" w:lineRule="auto"/>
                          <w:rPr>
                            <w:rFonts w:ascii="Tahoma" w:hAnsi="Tahoma" w:cs="Tahoma"/>
                            <w:color w:val="303030"/>
                            <w:sz w:val="21"/>
                            <w:szCs w:val="21"/>
                          </w:rPr>
                        </w:pPr>
                      </w:p>
                      <w:p w14:paraId="02B82D3F" w14:textId="77777777" w:rsidR="0071374E" w:rsidRDefault="0071374E" w:rsidP="00230555">
                        <w:pPr>
                          <w:spacing w:line="264" w:lineRule="auto"/>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6EAC8082" w14:textId="77777777" w:rsidR="0071374E" w:rsidRDefault="0071374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B21FA54">
                            <v:rect id="_x0000_i1035" style="width:468pt;height:1.5pt" o:hralign="center" o:hrstd="t" o:hr="t" fillcolor="#a0a0a0" stroked="f"/>
                          </w:pict>
                        </w:r>
                      </w:p>
                      <w:p w14:paraId="6ACAE506" w14:textId="77777777" w:rsidR="0071374E" w:rsidRDefault="0071374E">
                        <w:pPr>
                          <w:pStyle w:val="Heading2"/>
                          <w:rPr>
                            <w:rFonts w:eastAsia="Times New Roman"/>
                          </w:rPr>
                        </w:pPr>
                        <w:r>
                          <w:rPr>
                            <w:rFonts w:eastAsia="Times New Roman"/>
                          </w:rPr>
                          <w:t>New Medicine Supply Notice</w:t>
                        </w:r>
                      </w:p>
                      <w:p w14:paraId="04C11A62" w14:textId="77777777" w:rsidR="0071374E" w:rsidRDefault="0071374E" w:rsidP="0023055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t>DHSC has issued a medicine supply notification for Senokot® syrup and Senokot® 12 Years Plus syrup (both containing 7.5mg/5ml sennosides). A copy of this medicine supply notification, including further information for pharmacy teams, has been sent to all pharmacy NHS email addresses.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Learn more</w:t>
                          </w:r>
                        </w:hyperlink>
                      </w:p>
                    </w:tc>
                    <w:tc>
                      <w:tcPr>
                        <w:tcW w:w="150" w:type="dxa"/>
                        <w:vAlign w:val="center"/>
                        <w:hideMark/>
                      </w:tcPr>
                      <w:p w14:paraId="7F1DD72C" w14:textId="77777777" w:rsidR="0071374E" w:rsidRDefault="0071374E">
                        <w:pPr>
                          <w:rPr>
                            <w:rFonts w:ascii="Tahoma" w:eastAsia="Times New Roman" w:hAnsi="Tahoma" w:cs="Tahoma"/>
                            <w:color w:val="303030"/>
                            <w:sz w:val="21"/>
                            <w:szCs w:val="21"/>
                          </w:rPr>
                        </w:pPr>
                      </w:p>
                    </w:tc>
                  </w:tr>
                  <w:tr w:rsidR="0071374E" w14:paraId="4DD4DA4E" w14:textId="77777777">
                    <w:trPr>
                      <w:trHeight w:val="150"/>
                      <w:tblCellSpacing w:w="15" w:type="dxa"/>
                      <w:jc w:val="center"/>
                    </w:trPr>
                    <w:tc>
                      <w:tcPr>
                        <w:tcW w:w="150" w:type="dxa"/>
                        <w:vAlign w:val="center"/>
                        <w:hideMark/>
                      </w:tcPr>
                      <w:p w14:paraId="183032AB" w14:textId="77777777" w:rsidR="0071374E" w:rsidRDefault="0071374E">
                        <w:pPr>
                          <w:rPr>
                            <w:rFonts w:ascii="Times New Roman" w:eastAsia="Times New Roman" w:hAnsi="Times New Roman" w:cs="Times New Roman"/>
                            <w:sz w:val="20"/>
                            <w:szCs w:val="20"/>
                          </w:rPr>
                        </w:pPr>
                      </w:p>
                    </w:tc>
                    <w:tc>
                      <w:tcPr>
                        <w:tcW w:w="8700" w:type="dxa"/>
                        <w:vAlign w:val="center"/>
                        <w:hideMark/>
                      </w:tcPr>
                      <w:p w14:paraId="0C148A6A" w14:textId="77777777" w:rsidR="0071374E" w:rsidRDefault="0071374E">
                        <w:pPr>
                          <w:rPr>
                            <w:rFonts w:ascii="Times New Roman" w:eastAsia="Times New Roman" w:hAnsi="Times New Roman" w:cs="Times New Roman"/>
                            <w:sz w:val="20"/>
                            <w:szCs w:val="20"/>
                          </w:rPr>
                        </w:pPr>
                      </w:p>
                    </w:tc>
                    <w:tc>
                      <w:tcPr>
                        <w:tcW w:w="150" w:type="dxa"/>
                        <w:vAlign w:val="center"/>
                        <w:hideMark/>
                      </w:tcPr>
                      <w:p w14:paraId="0B0EB225" w14:textId="77777777" w:rsidR="0071374E" w:rsidRDefault="0071374E">
                        <w:pPr>
                          <w:rPr>
                            <w:rFonts w:ascii="Times New Roman" w:eastAsia="Times New Roman" w:hAnsi="Times New Roman" w:cs="Times New Roman"/>
                            <w:sz w:val="20"/>
                            <w:szCs w:val="20"/>
                          </w:rPr>
                        </w:pPr>
                      </w:p>
                    </w:tc>
                  </w:tr>
                </w:tbl>
                <w:p w14:paraId="79C7CA42" w14:textId="77777777" w:rsidR="0071374E" w:rsidRDefault="0071374E">
                  <w:pPr>
                    <w:jc w:val="center"/>
                    <w:rPr>
                      <w:rFonts w:ascii="Times New Roman" w:eastAsia="Times New Roman" w:hAnsi="Times New Roman" w:cs="Times New Roman"/>
                      <w:sz w:val="20"/>
                      <w:szCs w:val="20"/>
                    </w:rPr>
                  </w:pPr>
                </w:p>
              </w:tc>
            </w:tr>
          </w:tbl>
          <w:p w14:paraId="2BDD48CD" w14:textId="77777777" w:rsidR="0071374E" w:rsidRDefault="0071374E">
            <w:pPr>
              <w:jc w:val="center"/>
              <w:rPr>
                <w:rFonts w:ascii="Times New Roman" w:eastAsia="Times New Roman" w:hAnsi="Times New Roman" w:cs="Times New Roman"/>
                <w:sz w:val="20"/>
                <w:szCs w:val="20"/>
              </w:rPr>
            </w:pPr>
          </w:p>
        </w:tc>
      </w:tr>
      <w:tr w:rsidR="0071374E" w14:paraId="1A8FC633" w14:textId="77777777" w:rsidTr="0071374E">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1374E" w14:paraId="2FB66D3A"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1374E" w14:paraId="67994F85" w14:textId="77777777">
                    <w:trPr>
                      <w:tblCellSpacing w:w="0" w:type="dxa"/>
                      <w:jc w:val="center"/>
                    </w:trPr>
                    <w:tc>
                      <w:tcPr>
                        <w:tcW w:w="3000" w:type="dxa"/>
                        <w:tcMar>
                          <w:top w:w="30" w:type="dxa"/>
                          <w:left w:w="75" w:type="dxa"/>
                          <w:bottom w:w="30" w:type="dxa"/>
                          <w:right w:w="75" w:type="dxa"/>
                        </w:tcMar>
                        <w:hideMark/>
                      </w:tcPr>
                      <w:p w14:paraId="77E61316" w14:textId="77777777" w:rsidR="0071374E" w:rsidRDefault="0071374E">
                        <w:pPr>
                          <w:pStyle w:val="Heading4"/>
                          <w:jc w:val="center"/>
                          <w:rPr>
                            <w:rFonts w:eastAsia="Times New Roman"/>
                          </w:rPr>
                        </w:pPr>
                        <w:r>
                          <w:rPr>
                            <w:rFonts w:eastAsia="Times New Roman"/>
                          </w:rPr>
                          <w:lastRenderedPageBreak/>
                          <w:t>Pharmaceutical Services Negotiating Committee</w:t>
                        </w:r>
                      </w:p>
                      <w:p w14:paraId="507735AB" w14:textId="6FFCBEA0" w:rsidR="0071374E" w:rsidRDefault="0071374E">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18D4EF1" wp14:editId="0C0D2979">
                              <wp:extent cx="614680" cy="299720"/>
                              <wp:effectExtent l="0" t="0" r="13970" b="5080"/>
                              <wp:docPr id="5" name="Picture 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4680" cy="29972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51A5900" wp14:editId="26704A61">
                              <wp:extent cx="614680" cy="299720"/>
                              <wp:effectExtent l="0" t="0" r="13970" b="508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4680" cy="29972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ED552F4" wp14:editId="085669A9">
                              <wp:extent cx="614680" cy="299720"/>
                              <wp:effectExtent l="0" t="0" r="13970" b="5080"/>
                              <wp:docPr id="3" name="Picture 3">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4680" cy="29972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8DC4172" wp14:editId="1DD05701">
                              <wp:extent cx="614680" cy="299720"/>
                              <wp:effectExtent l="0" t="0" r="13970" b="5080"/>
                              <wp:docPr id="2" name="Picture 2">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14680" cy="29972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852B292" w14:textId="77777777" w:rsidR="0071374E" w:rsidRDefault="0071374E">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3"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71374E" w14:paraId="5139FBB2" w14:textId="77777777" w:rsidTr="00230555">
                    <w:trPr>
                      <w:trHeight w:val="19"/>
                      <w:tblCellSpacing w:w="0" w:type="dxa"/>
                      <w:jc w:val="center"/>
                    </w:trPr>
                    <w:tc>
                      <w:tcPr>
                        <w:tcW w:w="9000" w:type="dxa"/>
                        <w:tcMar>
                          <w:top w:w="150" w:type="dxa"/>
                          <w:left w:w="0" w:type="dxa"/>
                          <w:bottom w:w="0" w:type="dxa"/>
                          <w:right w:w="0" w:type="dxa"/>
                        </w:tcMar>
                        <w:vAlign w:val="center"/>
                        <w:hideMark/>
                      </w:tcPr>
                      <w:p w14:paraId="7F8CA244" w14:textId="4F0A9D2E" w:rsidR="0071374E" w:rsidRDefault="0071374E" w:rsidP="00230555">
                        <w:pPr>
                          <w:rPr>
                            <w:rFonts w:ascii="Arial" w:eastAsia="Times New Roman" w:hAnsi="Arial" w:cs="Arial"/>
                            <w:color w:val="FFFFFF"/>
                            <w:sz w:val="17"/>
                            <w:szCs w:val="17"/>
                          </w:rPr>
                        </w:pPr>
                      </w:p>
                    </w:tc>
                  </w:tr>
                </w:tbl>
                <w:p w14:paraId="3879B235" w14:textId="77777777" w:rsidR="0071374E" w:rsidRDefault="0071374E">
                  <w:pPr>
                    <w:jc w:val="center"/>
                    <w:rPr>
                      <w:rFonts w:ascii="Times New Roman" w:eastAsia="Times New Roman" w:hAnsi="Times New Roman" w:cs="Times New Roman"/>
                      <w:sz w:val="20"/>
                      <w:szCs w:val="20"/>
                    </w:rPr>
                  </w:pPr>
                </w:p>
              </w:tc>
            </w:tr>
          </w:tbl>
          <w:p w14:paraId="048918F9" w14:textId="77777777" w:rsidR="0071374E" w:rsidRDefault="0071374E">
            <w:pPr>
              <w:jc w:val="center"/>
              <w:rPr>
                <w:rFonts w:ascii="Times New Roman" w:eastAsia="Times New Roman" w:hAnsi="Times New Roman" w:cs="Times New Roman"/>
                <w:sz w:val="20"/>
                <w:szCs w:val="20"/>
              </w:rPr>
            </w:pPr>
          </w:p>
        </w:tc>
      </w:tr>
    </w:tbl>
    <w:p w14:paraId="18B35FC8" w14:textId="01D467C0" w:rsidR="0071374E" w:rsidRDefault="0071374E" w:rsidP="0071374E">
      <w:pPr>
        <w:rPr>
          <w:rFonts w:eastAsia="Times New Roman"/>
        </w:rPr>
      </w:pPr>
      <w:r>
        <w:rPr>
          <w:rFonts w:eastAsia="Times New Roman"/>
          <w:noProof/>
        </w:rPr>
        <w:drawing>
          <wp:inline distT="0" distB="0" distL="0" distR="0" wp14:anchorId="54C76DFB" wp14:editId="2C9C4373">
            <wp:extent cx="15875" cy="1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14:paraId="4BC7D9B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4E"/>
    <w:rsid w:val="00230555"/>
    <w:rsid w:val="0071374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C46D"/>
  <w15:chartTrackingRefBased/>
  <w15:docId w15:val="{92016ED4-1D5D-4429-B722-031E85B0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4E"/>
    <w:rPr>
      <w:rFonts w:ascii="Calibri" w:hAnsi="Calibri" w:cs="Calibri"/>
      <w:lang w:eastAsia="en-GB"/>
    </w:rPr>
  </w:style>
  <w:style w:type="paragraph" w:styleId="Heading1">
    <w:name w:val="heading 1"/>
    <w:basedOn w:val="Normal"/>
    <w:link w:val="Heading1Char"/>
    <w:uiPriority w:val="9"/>
    <w:qFormat/>
    <w:rsid w:val="0071374E"/>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71374E"/>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71374E"/>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74E"/>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71374E"/>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71374E"/>
    <w:rPr>
      <w:rFonts w:ascii="Tahoma" w:hAnsi="Tahoma" w:cs="Tahoma"/>
      <w:b/>
      <w:bCs/>
      <w:color w:val="FFFFFF"/>
      <w:sz w:val="18"/>
      <w:szCs w:val="18"/>
      <w:lang w:eastAsia="en-GB"/>
    </w:rPr>
  </w:style>
  <w:style w:type="paragraph" w:styleId="NormalWeb">
    <w:name w:val="Normal (Web)"/>
    <w:basedOn w:val="Normal"/>
    <w:uiPriority w:val="99"/>
    <w:semiHidden/>
    <w:unhideWhenUsed/>
    <w:rsid w:val="0071374E"/>
    <w:pPr>
      <w:spacing w:before="100" w:beforeAutospacing="1" w:after="100" w:afterAutospacing="1"/>
    </w:pPr>
  </w:style>
  <w:style w:type="character" w:styleId="Strong">
    <w:name w:val="Strong"/>
    <w:basedOn w:val="DefaultParagraphFont"/>
    <w:uiPriority w:val="22"/>
    <w:qFormat/>
    <w:rsid w:val="0071374E"/>
    <w:rPr>
      <w:b/>
      <w:bCs/>
    </w:rPr>
  </w:style>
  <w:style w:type="character" w:styleId="Hyperlink">
    <w:name w:val="Hyperlink"/>
    <w:basedOn w:val="DefaultParagraphFont"/>
    <w:uiPriority w:val="99"/>
    <w:semiHidden/>
    <w:unhideWhenUsed/>
    <w:rsid w:val="00713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42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8ae1939d0&amp;e=d19e9fd41c" TargetMode="External"/><Relationship Id="rId13" Type="http://schemas.openxmlformats.org/officeDocument/2006/relationships/image" Target="https://gallery.mailchimp.com/86d41ab7fa4c7c2c5d7210782/images/5acd9cf1-bdba-4039-b74f-638b444ff5d8.png"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psnc.org.uk/wp-content/uploads/2013/11/Newsletter-style-bar.png" TargetMode="External"/><Relationship Id="rId12" Type="http://schemas.openxmlformats.org/officeDocument/2006/relationships/image" Target="media/image3.png"/><Relationship Id="rId17" Type="http://schemas.openxmlformats.org/officeDocument/2006/relationships/hyperlink" Target="https://psnc.us7.list-manage.com/track/click?u=86d41ab7fa4c7c2c5d7210782&amp;id=2a9c7ff5ae&amp;e=d19e9fd41c" TargetMode="External"/><Relationship Id="rId25" Type="http://schemas.openxmlformats.org/officeDocument/2006/relationships/image" Target="https://psnc.us7.list-manage.com/track/open.php?u=86d41ab7fa4c7c2c5d7210782&amp;id=caa3aaee29&amp;e=d19e9fd41c" TargetMode="External"/><Relationship Id="rId2" Type="http://schemas.openxmlformats.org/officeDocument/2006/relationships/settings" Target="settings.xml"/><Relationship Id="rId16" Type="http://schemas.openxmlformats.org/officeDocument/2006/relationships/image" Target="https://gallery.mailchimp.com/86d41ab7fa4c7c2c5d7210782/images/e1475f6b-1081-4509-ab25-9cd7f83d26b2.png" TargetMode="External"/><Relationship Id="rId20" Type="http://schemas.openxmlformats.org/officeDocument/2006/relationships/hyperlink" Target="https://psnc.us7.list-manage.com/track/click?u=86d41ab7fa4c7c2c5d7210782&amp;id=c174135131&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c340c4e275&amp;e=d19e9fd41c" TargetMode="External"/><Relationship Id="rId24"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4.png"/><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f738a5d19b&amp;e=d19e9fd41c" TargetMode="External"/><Relationship Id="rId19" Type="http://schemas.openxmlformats.org/officeDocument/2006/relationships/image" Target="https://gallery.mailchimp.com/86d41ab7fa4c7c2c5d7210782/images/cd088afd-0ac0-4498-8ed1-e4199bf882ce.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a1794cfa38&amp;e=d19e9fd41c" TargetMode="External"/><Relationship Id="rId14" Type="http://schemas.openxmlformats.org/officeDocument/2006/relationships/hyperlink" Target="https://psnc.us7.list-manage.com/track/click?u=86d41ab7fa4c7c2c5d7210782&amp;id=3359a49e6c&amp;e=d19e9fd41c" TargetMode="External"/><Relationship Id="rId22" Type="http://schemas.openxmlformats.org/officeDocument/2006/relationships/image" Target="https://gallery.mailchimp.com/86d41ab7fa4c7c2c5d7210782/images/f5c0845f-f39c-425d-8d3c-deff11493c50.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2023-01-24T08:20:00Z</dcterms:created>
  <dcterms:modified xsi:type="dcterms:W3CDTF">2023-01-24T09:08:00Z</dcterms:modified>
</cp:coreProperties>
</file>