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74C0F" w14:paraId="72ED0065" w14:textId="77777777" w:rsidTr="00B74C0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74C0F" w14:paraId="16B05FD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74C0F" w14:paraId="4B3BC389" w14:textId="77777777">
                    <w:trPr>
                      <w:tblCellSpacing w:w="0" w:type="dxa"/>
                      <w:jc w:val="center"/>
                    </w:trPr>
                    <w:tc>
                      <w:tcPr>
                        <w:tcW w:w="3000" w:type="dxa"/>
                        <w:hideMark/>
                      </w:tcPr>
                      <w:p w14:paraId="63BFAC24" w14:textId="01CE334B" w:rsidR="00B74C0F" w:rsidRDefault="00B74C0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EC92C2B" w14:textId="77777777" w:rsidR="00B74C0F" w:rsidRDefault="00B74C0F">
                  <w:pPr>
                    <w:jc w:val="center"/>
                    <w:rPr>
                      <w:rFonts w:ascii="Times New Roman" w:eastAsia="Times New Roman" w:hAnsi="Times New Roman" w:cs="Times New Roman"/>
                      <w:sz w:val="20"/>
                      <w:szCs w:val="20"/>
                    </w:rPr>
                  </w:pPr>
                </w:p>
              </w:tc>
            </w:tr>
            <w:tr w:rsidR="00B74C0F" w14:paraId="7123E56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74C0F" w14:paraId="1D96A2C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96D34FC" w14:textId="53580BEE" w:rsidR="00B74C0F" w:rsidRDefault="00B74C0F">
                        <w:pPr>
                          <w:jc w:val="center"/>
                          <w:rPr>
                            <w:rFonts w:eastAsia="Times New Roman"/>
                          </w:rPr>
                        </w:pPr>
                        <w:r>
                          <w:rPr>
                            <w:rFonts w:eastAsia="Times New Roman"/>
                            <w:noProof/>
                          </w:rPr>
                          <w:drawing>
                            <wp:inline distT="0" distB="0" distL="0" distR="0" wp14:anchorId="23FF14C2" wp14:editId="26818F0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74C0F" w14:paraId="06BFD4F9" w14:textId="77777777">
                    <w:trPr>
                      <w:tblCellSpacing w:w="0" w:type="dxa"/>
                    </w:trPr>
                    <w:tc>
                      <w:tcPr>
                        <w:tcW w:w="0" w:type="auto"/>
                        <w:vMerge/>
                        <w:tcBorders>
                          <w:top w:val="nil"/>
                          <w:left w:val="nil"/>
                          <w:bottom w:val="single" w:sz="2" w:space="0" w:color="FFFFFF"/>
                          <w:right w:val="nil"/>
                        </w:tcBorders>
                        <w:vAlign w:val="center"/>
                        <w:hideMark/>
                      </w:tcPr>
                      <w:p w14:paraId="36F08AF5" w14:textId="77777777" w:rsidR="00B74C0F" w:rsidRDefault="00B74C0F">
                        <w:pPr>
                          <w:rPr>
                            <w:rFonts w:eastAsia="Times New Roman"/>
                          </w:rPr>
                        </w:pPr>
                      </w:p>
                    </w:tc>
                    <w:tc>
                      <w:tcPr>
                        <w:tcW w:w="3450" w:type="dxa"/>
                        <w:tcBorders>
                          <w:top w:val="nil"/>
                          <w:left w:val="nil"/>
                          <w:bottom w:val="nil"/>
                          <w:right w:val="nil"/>
                        </w:tcBorders>
                        <w:vAlign w:val="center"/>
                        <w:hideMark/>
                      </w:tcPr>
                      <w:p w14:paraId="450FB5D7" w14:textId="77777777" w:rsidR="00B74C0F" w:rsidRDefault="00B74C0F">
                        <w:pPr>
                          <w:pStyle w:val="Heading1"/>
                          <w:rPr>
                            <w:rFonts w:eastAsia="Times New Roman"/>
                          </w:rPr>
                        </w:pPr>
                        <w:r>
                          <w:rPr>
                            <w:rFonts w:eastAsia="Times New Roman"/>
                          </w:rPr>
                          <w:t>PSNC Newsletter</w:t>
                        </w:r>
                      </w:p>
                    </w:tc>
                  </w:tr>
                  <w:tr w:rsidR="00B74C0F" w14:paraId="633BDFCD" w14:textId="77777777">
                    <w:trPr>
                      <w:tblCellSpacing w:w="0" w:type="dxa"/>
                    </w:trPr>
                    <w:tc>
                      <w:tcPr>
                        <w:tcW w:w="0" w:type="auto"/>
                        <w:vMerge/>
                        <w:tcBorders>
                          <w:top w:val="nil"/>
                          <w:left w:val="nil"/>
                          <w:bottom w:val="single" w:sz="2" w:space="0" w:color="FFFFFF"/>
                          <w:right w:val="nil"/>
                        </w:tcBorders>
                        <w:vAlign w:val="center"/>
                        <w:hideMark/>
                      </w:tcPr>
                      <w:p w14:paraId="0859FC19" w14:textId="77777777" w:rsidR="00B74C0F" w:rsidRDefault="00B74C0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F2901ED" w14:textId="77777777" w:rsidR="00B74C0F" w:rsidRDefault="00B74C0F">
                        <w:pPr>
                          <w:pStyle w:val="Heading2"/>
                          <w:rPr>
                            <w:rFonts w:eastAsia="Times New Roman"/>
                            <w:color w:val="93378A"/>
                          </w:rPr>
                        </w:pPr>
                        <w:r>
                          <w:rPr>
                            <w:rFonts w:eastAsia="Times New Roman"/>
                            <w:color w:val="93378A"/>
                          </w:rPr>
                          <w:t>Monday 17th April 2023</w:t>
                        </w:r>
                      </w:p>
                    </w:tc>
                  </w:tr>
                </w:tbl>
                <w:p w14:paraId="0B059B4F" w14:textId="77777777" w:rsidR="00B74C0F" w:rsidRDefault="00B74C0F">
                  <w:pPr>
                    <w:rPr>
                      <w:rFonts w:ascii="Times New Roman" w:eastAsia="Times New Roman" w:hAnsi="Times New Roman" w:cs="Times New Roman"/>
                      <w:sz w:val="20"/>
                      <w:szCs w:val="20"/>
                    </w:rPr>
                  </w:pPr>
                </w:p>
              </w:tc>
            </w:tr>
            <w:tr w:rsidR="00B74C0F" w14:paraId="42B8B676" w14:textId="77777777">
              <w:tblPrEx>
                <w:shd w:val="clear" w:color="auto" w:fill="auto"/>
              </w:tblPrEx>
              <w:trPr>
                <w:tblCellSpacing w:w="0" w:type="dxa"/>
                <w:jc w:val="center"/>
              </w:trPr>
              <w:tc>
                <w:tcPr>
                  <w:tcW w:w="9000" w:type="dxa"/>
                  <w:hideMark/>
                </w:tcPr>
                <w:p w14:paraId="0923EFF1" w14:textId="02223CE6" w:rsidR="00B74C0F" w:rsidRDefault="00B74C0F">
                  <w:pPr>
                    <w:rPr>
                      <w:rFonts w:eastAsia="Times New Roman"/>
                    </w:rPr>
                  </w:pPr>
                  <w:r>
                    <w:rPr>
                      <w:rFonts w:eastAsia="Times New Roman"/>
                      <w:noProof/>
                    </w:rPr>
                    <w:drawing>
                      <wp:inline distT="0" distB="0" distL="0" distR="0" wp14:anchorId="0BCC0A1B" wp14:editId="0052C37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74C0F" w14:paraId="7347FE3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B74C0F" w14:paraId="6DFFFE2F" w14:textId="77777777">
                    <w:trPr>
                      <w:trHeight w:val="150"/>
                      <w:tblCellSpacing w:w="15" w:type="dxa"/>
                      <w:jc w:val="center"/>
                    </w:trPr>
                    <w:tc>
                      <w:tcPr>
                        <w:tcW w:w="150" w:type="dxa"/>
                        <w:vAlign w:val="center"/>
                        <w:hideMark/>
                      </w:tcPr>
                      <w:p w14:paraId="433C9267" w14:textId="77777777" w:rsidR="00B74C0F" w:rsidRDefault="00B74C0F" w:rsidP="00B74C0F">
                        <w:pPr>
                          <w:spacing w:line="264" w:lineRule="auto"/>
                          <w:rPr>
                            <w:rFonts w:eastAsia="Times New Roman"/>
                          </w:rPr>
                        </w:pPr>
                      </w:p>
                    </w:tc>
                    <w:tc>
                      <w:tcPr>
                        <w:tcW w:w="8700" w:type="dxa"/>
                        <w:vAlign w:val="center"/>
                        <w:hideMark/>
                      </w:tcPr>
                      <w:p w14:paraId="05C9427A" w14:textId="77777777" w:rsidR="00B74C0F" w:rsidRDefault="00B74C0F" w:rsidP="00B74C0F">
                        <w:pPr>
                          <w:spacing w:line="264" w:lineRule="auto"/>
                          <w:rPr>
                            <w:rFonts w:ascii="Times New Roman" w:eastAsia="Times New Roman" w:hAnsi="Times New Roman" w:cs="Times New Roman"/>
                            <w:sz w:val="20"/>
                            <w:szCs w:val="20"/>
                          </w:rPr>
                        </w:pPr>
                      </w:p>
                    </w:tc>
                    <w:tc>
                      <w:tcPr>
                        <w:tcW w:w="150" w:type="dxa"/>
                        <w:vAlign w:val="center"/>
                        <w:hideMark/>
                      </w:tcPr>
                      <w:p w14:paraId="1507F99F" w14:textId="77777777" w:rsidR="00B74C0F" w:rsidRDefault="00B74C0F" w:rsidP="00B74C0F">
                        <w:pPr>
                          <w:spacing w:line="264" w:lineRule="auto"/>
                          <w:rPr>
                            <w:rFonts w:ascii="Times New Roman" w:eastAsia="Times New Roman" w:hAnsi="Times New Roman" w:cs="Times New Roman"/>
                            <w:sz w:val="20"/>
                            <w:szCs w:val="20"/>
                          </w:rPr>
                        </w:pPr>
                      </w:p>
                    </w:tc>
                  </w:tr>
                  <w:tr w:rsidR="00B74C0F" w14:paraId="25C56CDC" w14:textId="77777777">
                    <w:trPr>
                      <w:tblCellSpacing w:w="15" w:type="dxa"/>
                      <w:jc w:val="center"/>
                    </w:trPr>
                    <w:tc>
                      <w:tcPr>
                        <w:tcW w:w="150" w:type="dxa"/>
                        <w:vAlign w:val="center"/>
                        <w:hideMark/>
                      </w:tcPr>
                      <w:p w14:paraId="10C73E79" w14:textId="77777777" w:rsidR="00B74C0F" w:rsidRDefault="00B74C0F" w:rsidP="00B74C0F">
                        <w:pPr>
                          <w:spacing w:line="264" w:lineRule="auto"/>
                          <w:rPr>
                            <w:rFonts w:ascii="Times New Roman" w:eastAsia="Times New Roman" w:hAnsi="Times New Roman" w:cs="Times New Roman"/>
                            <w:sz w:val="20"/>
                            <w:szCs w:val="20"/>
                          </w:rPr>
                        </w:pPr>
                      </w:p>
                    </w:tc>
                    <w:tc>
                      <w:tcPr>
                        <w:tcW w:w="8700" w:type="dxa"/>
                        <w:vAlign w:val="center"/>
                        <w:hideMark/>
                      </w:tcPr>
                      <w:p w14:paraId="46B462ED"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143F611"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AC670E">
                            <v:rect id="_x0000_i1032" style="width:468pt;height:1.5pt" o:hrstd="t" o:hr="t" fillcolor="#a0a0a0" stroked="f"/>
                          </w:pict>
                        </w:r>
                      </w:p>
                      <w:p w14:paraId="7743A717" w14:textId="77777777" w:rsidR="00B74C0F" w:rsidRDefault="00B74C0F" w:rsidP="00B74C0F">
                        <w:pPr>
                          <w:pStyle w:val="Heading2"/>
                          <w:spacing w:after="0"/>
                          <w:rPr>
                            <w:rFonts w:eastAsia="Times New Roman"/>
                          </w:rPr>
                        </w:pPr>
                        <w:r>
                          <w:rPr>
                            <w:rFonts w:eastAsia="Times New Roman"/>
                          </w:rPr>
                          <w:t>In this update: NHSE announces contraception service launch; National Care Records Service to replace SCR; Pressures Survey engagement materials; EPS survey.</w:t>
                        </w:r>
                      </w:p>
                      <w:p w14:paraId="796E110B"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FA553C">
                            <v:rect id="_x0000_i1033" style="width:468pt;height:1.5pt" o:hrstd="t" o:hr="t" fillcolor="#a0a0a0" stroked="f"/>
                          </w:pict>
                        </w:r>
                      </w:p>
                      <w:p w14:paraId="0E90BE39" w14:textId="77777777" w:rsidR="00B74C0F" w:rsidRDefault="00B74C0F" w:rsidP="00B74C0F">
                        <w:pPr>
                          <w:pStyle w:val="Heading3"/>
                          <w:spacing w:after="0"/>
                          <w:rPr>
                            <w:rFonts w:eastAsia="Times New Roman"/>
                          </w:rPr>
                        </w:pPr>
                        <w:r>
                          <w:rPr>
                            <w:rFonts w:eastAsia="Times New Roman"/>
                          </w:rPr>
                          <w:t xml:space="preserve">NHSE announces contraception service </w:t>
                        </w:r>
                        <w:proofErr w:type="gramStart"/>
                        <w:r>
                          <w:rPr>
                            <w:rFonts w:eastAsia="Times New Roman"/>
                          </w:rPr>
                          <w:t>launch</w:t>
                        </w:r>
                        <w:proofErr w:type="gramEnd"/>
                      </w:p>
                      <w:p w14:paraId="61DE417C" w14:textId="77777777" w:rsidR="00B74C0F" w:rsidRDefault="00B74C0F" w:rsidP="00B74C0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England (NHSE) has announced that the Pharmacy Contraception Service will launch from 24th April 2023. This has not been agreed with PSNC and is in direct contradiction of</w:t>
                        </w:r>
                        <w:hyperlink r:id="rId8" w:tgtFrame="_blank" w:history="1">
                          <w:r>
                            <w:rPr>
                              <w:rStyle w:val="Hyperlink"/>
                              <w:rFonts w:ascii="Tahoma" w:hAnsi="Tahoma" w:cs="Tahoma"/>
                              <w:b/>
                              <w:bCs/>
                              <w:color w:val="4E3487"/>
                              <w:sz w:val="21"/>
                              <w:szCs w:val="21"/>
                            </w:rPr>
                            <w:t> </w:t>
                          </w:r>
                        </w:hyperlink>
                        <w:r>
                          <w:rPr>
                            <w:rFonts w:ascii="Tahoma" w:hAnsi="Tahoma" w:cs="Tahoma"/>
                            <w:color w:val="303030"/>
                            <w:sz w:val="21"/>
                            <w:szCs w:val="21"/>
                          </w:rPr>
                          <w:t>our warning to Ministers that Year 5 CPCF Services cannot go ahead without a funding uplift for community pharmacies.</w:t>
                        </w:r>
                        <w:r>
                          <w:rPr>
                            <w:rFonts w:ascii="Tahoma" w:hAnsi="Tahoma" w:cs="Tahoma"/>
                            <w:color w:val="303030"/>
                            <w:sz w:val="21"/>
                            <w:szCs w:val="21"/>
                          </w:rPr>
                          <w:br/>
                        </w:r>
                        <w:r>
                          <w:rPr>
                            <w:rFonts w:ascii="Tahoma" w:hAnsi="Tahoma" w:cs="Tahoma"/>
                            <w:color w:val="303030"/>
                            <w:sz w:val="21"/>
                            <w:szCs w:val="21"/>
                          </w:rPr>
                          <w:br/>
                          <w:t>Responding to this announcement, </w:t>
                        </w:r>
                        <w:r>
                          <w:rPr>
                            <w:rStyle w:val="Strong"/>
                            <w:rFonts w:ascii="Tahoma" w:hAnsi="Tahoma" w:cs="Tahoma"/>
                            <w:color w:val="303030"/>
                            <w:sz w:val="21"/>
                            <w:szCs w:val="21"/>
                          </w:rPr>
                          <w:t>PSNC Chief Executive Janet Morrison</w:t>
                        </w:r>
                        <w:r>
                          <w:rPr>
                            <w:rFonts w:ascii="Tahoma" w:hAnsi="Tahoma" w:cs="Tahoma"/>
                            <w:color w:val="303030"/>
                            <w:sz w:val="21"/>
                            <w:szCs w:val="21"/>
                          </w:rPr>
                          <w:t> said:</w:t>
                        </w:r>
                        <w:r>
                          <w:rPr>
                            <w:rFonts w:ascii="Tahoma" w:hAnsi="Tahoma" w:cs="Tahoma"/>
                            <w:color w:val="303030"/>
                            <w:sz w:val="21"/>
                            <w:szCs w:val="21"/>
                          </w:rPr>
                          <w:br/>
                        </w:r>
                        <w:r>
                          <w:rPr>
                            <w:rFonts w:ascii="Tahoma" w:hAnsi="Tahoma" w:cs="Tahoma"/>
                            <w:color w:val="303030"/>
                            <w:sz w:val="21"/>
                            <w:szCs w:val="21"/>
                          </w:rPr>
                          <w:br/>
                          <w:t>"We note that NHSE has announced the launch date for Tier 1 of the Pharmacy Contraception Service. This is despite our warning last month that without additional funding, the roll-out of Year 5 additional services and the Pharmacy Quality Scheme is neither feasible nor affordable. Community pharmacies are having to work harder and harder for less money and many are at breaking point. And just last week the results of our 2023 Pharmacy Pressures Survey have confirmed the worsening situation."</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PSNC's response in full</w:t>
                          </w:r>
                        </w:hyperlink>
                      </w:p>
                      <w:p w14:paraId="26831567"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A4ADC6">
                            <v:rect id="_x0000_i1034" style="width:468pt;height:1.5pt" o:hrstd="t" o:hr="t" fillcolor="#a0a0a0" stroked="f"/>
                          </w:pict>
                        </w:r>
                      </w:p>
                      <w:p w14:paraId="0DD8E4B7" w14:textId="77777777" w:rsidR="00B74C0F" w:rsidRDefault="00B74C0F" w:rsidP="00B74C0F">
                        <w:pPr>
                          <w:pStyle w:val="Heading3"/>
                          <w:spacing w:after="0"/>
                          <w:rPr>
                            <w:rFonts w:eastAsia="Times New Roman"/>
                          </w:rPr>
                        </w:pPr>
                        <w:r>
                          <w:rPr>
                            <w:rFonts w:eastAsia="Times New Roman"/>
                          </w:rPr>
                          <w:t>SCR being replaced by National Care Records Service </w:t>
                        </w:r>
                      </w:p>
                      <w:p w14:paraId="54CB0138" w14:textId="77777777" w:rsidR="00B74C0F" w:rsidRDefault="00B74C0F" w:rsidP="00B74C0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Summary Care Record (</w:t>
                        </w:r>
                        <w:proofErr w:type="spellStart"/>
                        <w:r>
                          <w:rPr>
                            <w:rFonts w:ascii="Tahoma" w:hAnsi="Tahoma" w:cs="Tahoma"/>
                            <w:color w:val="303030"/>
                            <w:sz w:val="21"/>
                            <w:szCs w:val="21"/>
                          </w:rPr>
                          <w:t>SCRa</w:t>
                        </w:r>
                        <w:proofErr w:type="spellEnd"/>
                        <w:r>
                          <w:rPr>
                            <w:rFonts w:ascii="Tahoma" w:hAnsi="Tahoma" w:cs="Tahoma"/>
                            <w:color w:val="303030"/>
                            <w:sz w:val="21"/>
                            <w:szCs w:val="21"/>
                          </w:rPr>
                          <w:t>) portal is scheduled to be replaced by a new system called the National Care Records Service (NCRS) from September 2023.</w:t>
                        </w:r>
                      </w:p>
                      <w:p w14:paraId="0AFA98CA" w14:textId="77777777" w:rsidR="00B74C0F" w:rsidRDefault="00B74C0F" w:rsidP="00B74C0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From now until September, both the </w:t>
                        </w:r>
                        <w:proofErr w:type="spellStart"/>
                        <w:r>
                          <w:rPr>
                            <w:rFonts w:ascii="Tahoma" w:hAnsi="Tahoma" w:cs="Tahoma"/>
                            <w:color w:val="303030"/>
                            <w:sz w:val="21"/>
                            <w:szCs w:val="21"/>
                          </w:rPr>
                          <w:t>SCRa</w:t>
                        </w:r>
                        <w:proofErr w:type="spellEnd"/>
                        <w:r>
                          <w:rPr>
                            <w:rFonts w:ascii="Tahoma" w:hAnsi="Tahoma" w:cs="Tahoma"/>
                            <w:color w:val="303030"/>
                            <w:sz w:val="21"/>
                            <w:szCs w:val="21"/>
                          </w:rPr>
                          <w:t xml:space="preserve"> portal and the NCRS portal will be accessible.</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4AC42FE2"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AB49A3">
                            <v:rect id="_x0000_i1035" style="width:468pt;height:1.5pt" o:hrstd="t" o:hr="t" fillcolor="#a0a0a0" stroked="f"/>
                          </w:pict>
                        </w:r>
                      </w:p>
                      <w:p w14:paraId="636DDB46" w14:textId="77777777" w:rsidR="00B74C0F" w:rsidRDefault="00B74C0F" w:rsidP="00B74C0F">
                        <w:pPr>
                          <w:pStyle w:val="Heading3"/>
                          <w:spacing w:after="0"/>
                          <w:rPr>
                            <w:rFonts w:eastAsia="Times New Roman"/>
                          </w:rPr>
                        </w:pPr>
                        <w:r>
                          <w:rPr>
                            <w:rFonts w:eastAsia="Times New Roman"/>
                          </w:rPr>
                          <w:t>Pressures Survey new engagement resources</w:t>
                        </w:r>
                      </w:p>
                      <w:p w14:paraId="0881F509"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7CA1FD42"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 help raise awareness of the results of PSNC’s 2023 Pharmacy Pressures Survey (and consequently the worsening situation for community pharmacy), we have developed some resources that may be useful for contractors and LPCs to engage MPs and other local stakeholders. These include a one-page infographic, social media files, and resources for emailing your local MP about these survey results.</w:t>
                        </w:r>
                      </w:p>
                      <w:p w14:paraId="6D7DC682"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br/>
                        </w:r>
                        <w:hyperlink r:id="rId11" w:tgtFrame="_blank" w:history="1">
                          <w:r>
                            <w:rPr>
                              <w:rStyle w:val="Hyperlink"/>
                              <w:rFonts w:ascii="Tahoma" w:eastAsia="Times New Roman" w:hAnsi="Tahoma" w:cs="Tahoma"/>
                              <w:b/>
                              <w:bCs/>
                              <w:color w:val="4E3487"/>
                              <w:sz w:val="21"/>
                              <w:szCs w:val="21"/>
                            </w:rPr>
                            <w:t>View the resources</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more about the survey results</w:t>
                          </w:r>
                        </w:hyperlink>
                        <w:r>
                          <w:rPr>
                            <w:rFonts w:ascii="Tahoma" w:eastAsia="Times New Roman" w:hAnsi="Tahoma" w:cs="Tahoma"/>
                            <w:color w:val="303030"/>
                            <w:sz w:val="21"/>
                            <w:szCs w:val="21"/>
                          </w:rPr>
                          <w:t xml:space="preserve"> </w:t>
                        </w:r>
                      </w:p>
                      <w:p w14:paraId="0D355B0C" w14:textId="77777777" w:rsidR="00B74C0F" w:rsidRDefault="00B74C0F" w:rsidP="00B74C0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934E1B5">
                            <v:rect id="_x0000_i1036" style="width:468pt;height:1.5pt" o:hrstd="t" o:hr="t" fillcolor="#a0a0a0" stroked="f"/>
                          </w:pict>
                        </w:r>
                      </w:p>
                      <w:p w14:paraId="52F28B8A" w14:textId="77777777" w:rsidR="00B74C0F" w:rsidRDefault="00B74C0F" w:rsidP="00B74C0F">
                        <w:pPr>
                          <w:pStyle w:val="Heading3"/>
                          <w:spacing w:after="0"/>
                          <w:rPr>
                            <w:rFonts w:eastAsia="Times New Roman"/>
                          </w:rPr>
                        </w:pPr>
                        <w:r>
                          <w:rPr>
                            <w:rFonts w:eastAsia="Times New Roman"/>
                          </w:rPr>
                          <w:t xml:space="preserve">Chance to share your views on EPS </w:t>
                        </w:r>
                        <w:proofErr w:type="gramStart"/>
                        <w:r>
                          <w:rPr>
                            <w:rFonts w:eastAsia="Times New Roman"/>
                          </w:rPr>
                          <w:t>outcomes</w:t>
                        </w:r>
                        <w:proofErr w:type="gramEnd"/>
                      </w:p>
                      <w:p w14:paraId="3DDFFF1B" w14:textId="77777777" w:rsidR="00B74C0F" w:rsidRDefault="00B74C0F" w:rsidP="00B74C0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working with Kingston University and the Community Pharmacy IT Group (CP ITG), has launched a short survey to gather feedback about EPS Paperless, Outcomes and Trackability.</w:t>
                        </w:r>
                        <w:r>
                          <w:rPr>
                            <w:rFonts w:ascii="Tahoma" w:hAnsi="Tahoma" w:cs="Tahoma"/>
                            <w:color w:val="303030"/>
                            <w:sz w:val="21"/>
                            <w:szCs w:val="21"/>
                          </w:rPr>
                          <w:br/>
                        </w:r>
                        <w:r>
                          <w:rPr>
                            <w:rFonts w:ascii="Tahoma" w:hAnsi="Tahoma" w:cs="Tahoma"/>
                            <w:color w:val="303030"/>
                            <w:sz w:val="21"/>
                            <w:szCs w:val="21"/>
                          </w:rPr>
                          <w:br/>
                          <w:t>The short survey takes 5-10 minutes to complete. If you are able to spare a little time, your responses will be used to help shape the EPS priorities of the CP ITG and system suppliers.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Please complete the survey here</w:t>
                          </w:r>
                        </w:hyperlink>
                      </w:p>
                    </w:tc>
                    <w:tc>
                      <w:tcPr>
                        <w:tcW w:w="150" w:type="dxa"/>
                        <w:vAlign w:val="center"/>
                        <w:hideMark/>
                      </w:tcPr>
                      <w:p w14:paraId="554A7DB5" w14:textId="77777777" w:rsidR="00B74C0F" w:rsidRDefault="00B74C0F" w:rsidP="00B74C0F">
                        <w:pPr>
                          <w:spacing w:line="264" w:lineRule="auto"/>
                          <w:rPr>
                            <w:rFonts w:ascii="Tahoma" w:hAnsi="Tahoma" w:cs="Tahoma"/>
                            <w:color w:val="303030"/>
                            <w:sz w:val="21"/>
                            <w:szCs w:val="21"/>
                          </w:rPr>
                        </w:pPr>
                      </w:p>
                    </w:tc>
                  </w:tr>
                  <w:tr w:rsidR="00B74C0F" w14:paraId="4C383658" w14:textId="77777777">
                    <w:trPr>
                      <w:trHeight w:val="150"/>
                      <w:tblCellSpacing w:w="15" w:type="dxa"/>
                      <w:jc w:val="center"/>
                    </w:trPr>
                    <w:tc>
                      <w:tcPr>
                        <w:tcW w:w="150" w:type="dxa"/>
                        <w:vAlign w:val="center"/>
                        <w:hideMark/>
                      </w:tcPr>
                      <w:p w14:paraId="21EE012D" w14:textId="77777777" w:rsidR="00B74C0F" w:rsidRDefault="00B74C0F" w:rsidP="00B74C0F">
                        <w:pPr>
                          <w:spacing w:line="264" w:lineRule="auto"/>
                          <w:rPr>
                            <w:rFonts w:ascii="Times New Roman" w:eastAsia="Times New Roman" w:hAnsi="Times New Roman" w:cs="Times New Roman"/>
                            <w:sz w:val="20"/>
                            <w:szCs w:val="20"/>
                          </w:rPr>
                        </w:pPr>
                      </w:p>
                    </w:tc>
                    <w:tc>
                      <w:tcPr>
                        <w:tcW w:w="8700" w:type="dxa"/>
                        <w:vAlign w:val="center"/>
                        <w:hideMark/>
                      </w:tcPr>
                      <w:p w14:paraId="42AFD93D" w14:textId="77777777" w:rsidR="00B74C0F" w:rsidRDefault="00B74C0F" w:rsidP="00B74C0F">
                        <w:pPr>
                          <w:spacing w:line="264" w:lineRule="auto"/>
                          <w:rPr>
                            <w:rFonts w:ascii="Times New Roman" w:eastAsia="Times New Roman" w:hAnsi="Times New Roman" w:cs="Times New Roman"/>
                            <w:sz w:val="20"/>
                            <w:szCs w:val="20"/>
                          </w:rPr>
                        </w:pPr>
                      </w:p>
                    </w:tc>
                    <w:tc>
                      <w:tcPr>
                        <w:tcW w:w="150" w:type="dxa"/>
                        <w:vAlign w:val="center"/>
                        <w:hideMark/>
                      </w:tcPr>
                      <w:p w14:paraId="6F2DD458" w14:textId="77777777" w:rsidR="00B74C0F" w:rsidRDefault="00B74C0F" w:rsidP="00B74C0F">
                        <w:pPr>
                          <w:spacing w:line="264" w:lineRule="auto"/>
                          <w:rPr>
                            <w:rFonts w:ascii="Times New Roman" w:eastAsia="Times New Roman" w:hAnsi="Times New Roman" w:cs="Times New Roman"/>
                            <w:sz w:val="20"/>
                            <w:szCs w:val="20"/>
                          </w:rPr>
                        </w:pPr>
                      </w:p>
                    </w:tc>
                  </w:tr>
                </w:tbl>
                <w:p w14:paraId="2389A9E8" w14:textId="77777777" w:rsidR="00B74C0F" w:rsidRDefault="00B74C0F" w:rsidP="00B74C0F">
                  <w:pPr>
                    <w:spacing w:line="264" w:lineRule="auto"/>
                    <w:rPr>
                      <w:rFonts w:ascii="Times New Roman" w:eastAsia="Times New Roman" w:hAnsi="Times New Roman" w:cs="Times New Roman"/>
                      <w:sz w:val="20"/>
                      <w:szCs w:val="20"/>
                    </w:rPr>
                  </w:pPr>
                </w:p>
              </w:tc>
            </w:tr>
          </w:tbl>
          <w:p w14:paraId="2BF1B657" w14:textId="77777777" w:rsidR="00B74C0F" w:rsidRDefault="00B74C0F">
            <w:pPr>
              <w:jc w:val="center"/>
              <w:rPr>
                <w:rFonts w:ascii="Times New Roman" w:eastAsia="Times New Roman" w:hAnsi="Times New Roman" w:cs="Times New Roman"/>
                <w:sz w:val="20"/>
                <w:szCs w:val="20"/>
              </w:rPr>
            </w:pPr>
          </w:p>
        </w:tc>
      </w:tr>
      <w:tr w:rsidR="00B74C0F" w14:paraId="2D193A83" w14:textId="77777777" w:rsidTr="00B74C0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74C0F" w14:paraId="27DE4BF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74C0F" w14:paraId="09DB939B" w14:textId="77777777">
                    <w:trPr>
                      <w:tblCellSpacing w:w="0" w:type="dxa"/>
                      <w:jc w:val="center"/>
                    </w:trPr>
                    <w:tc>
                      <w:tcPr>
                        <w:tcW w:w="3000" w:type="dxa"/>
                        <w:tcMar>
                          <w:top w:w="30" w:type="dxa"/>
                          <w:left w:w="75" w:type="dxa"/>
                          <w:bottom w:w="30" w:type="dxa"/>
                          <w:right w:w="75" w:type="dxa"/>
                        </w:tcMar>
                        <w:hideMark/>
                      </w:tcPr>
                      <w:p w14:paraId="093505E6" w14:textId="77777777" w:rsidR="00B74C0F" w:rsidRDefault="00B74C0F">
                        <w:pPr>
                          <w:pStyle w:val="Heading4"/>
                          <w:jc w:val="center"/>
                          <w:rPr>
                            <w:rFonts w:eastAsia="Times New Roman"/>
                          </w:rPr>
                        </w:pPr>
                        <w:r>
                          <w:rPr>
                            <w:rFonts w:eastAsia="Times New Roman"/>
                          </w:rPr>
                          <w:lastRenderedPageBreak/>
                          <w:t>Pharmaceutical Services Negotiating Committee</w:t>
                        </w:r>
                      </w:p>
                      <w:p w14:paraId="52300EE9" w14:textId="16A3DF48" w:rsidR="00B74C0F" w:rsidRDefault="00B74C0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CC3C162" wp14:editId="6E1E2CA6">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CDEA444" wp14:editId="0EA7AE5A">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450B279" wp14:editId="0D37C0AA">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6DBA9D8" wp14:editId="304455AD">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8B8EFFE" w14:textId="77777777" w:rsidR="00B74C0F" w:rsidRDefault="00B74C0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74C0F" w14:paraId="533C4A37" w14:textId="77777777" w:rsidTr="00B74C0F">
                    <w:trPr>
                      <w:trHeight w:val="20"/>
                      <w:tblCellSpacing w:w="0" w:type="dxa"/>
                      <w:jc w:val="center"/>
                    </w:trPr>
                    <w:tc>
                      <w:tcPr>
                        <w:tcW w:w="9000" w:type="dxa"/>
                        <w:tcMar>
                          <w:top w:w="150" w:type="dxa"/>
                          <w:left w:w="0" w:type="dxa"/>
                          <w:bottom w:w="0" w:type="dxa"/>
                          <w:right w:w="0" w:type="dxa"/>
                        </w:tcMar>
                        <w:vAlign w:val="center"/>
                        <w:hideMark/>
                      </w:tcPr>
                      <w:p w14:paraId="47BA5ADA" w14:textId="0B0CCC8A" w:rsidR="00B74C0F" w:rsidRDefault="00B74C0F" w:rsidP="00B74C0F">
                        <w:pPr>
                          <w:rPr>
                            <w:rFonts w:ascii="Arial" w:eastAsia="Times New Roman" w:hAnsi="Arial" w:cs="Arial"/>
                            <w:color w:val="FFFFFF"/>
                            <w:sz w:val="17"/>
                            <w:szCs w:val="17"/>
                          </w:rPr>
                        </w:pPr>
                      </w:p>
                    </w:tc>
                  </w:tr>
                </w:tbl>
                <w:p w14:paraId="4AF804D5" w14:textId="77777777" w:rsidR="00B74C0F" w:rsidRDefault="00B74C0F">
                  <w:pPr>
                    <w:jc w:val="center"/>
                    <w:rPr>
                      <w:rFonts w:ascii="Times New Roman" w:eastAsia="Times New Roman" w:hAnsi="Times New Roman" w:cs="Times New Roman"/>
                      <w:sz w:val="20"/>
                      <w:szCs w:val="20"/>
                    </w:rPr>
                  </w:pPr>
                </w:p>
              </w:tc>
            </w:tr>
          </w:tbl>
          <w:p w14:paraId="16148AB0" w14:textId="77777777" w:rsidR="00B74C0F" w:rsidRDefault="00B74C0F">
            <w:pPr>
              <w:jc w:val="center"/>
              <w:rPr>
                <w:rFonts w:ascii="Times New Roman" w:eastAsia="Times New Roman" w:hAnsi="Times New Roman" w:cs="Times New Roman"/>
                <w:sz w:val="20"/>
                <w:szCs w:val="20"/>
              </w:rPr>
            </w:pPr>
          </w:p>
        </w:tc>
      </w:tr>
    </w:tbl>
    <w:p w14:paraId="3BE66C63" w14:textId="78446A19" w:rsidR="00B74C0F" w:rsidRDefault="00B74C0F" w:rsidP="00B74C0F">
      <w:pPr>
        <w:rPr>
          <w:rFonts w:eastAsia="Times New Roman"/>
        </w:rPr>
      </w:pPr>
      <w:r>
        <w:rPr>
          <w:rFonts w:eastAsia="Times New Roman"/>
          <w:noProof/>
        </w:rPr>
        <w:drawing>
          <wp:inline distT="0" distB="0" distL="0" distR="0" wp14:anchorId="040F8DCD" wp14:editId="142205C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A3DA8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F"/>
    <w:rsid w:val="005230FC"/>
    <w:rsid w:val="00B74C0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9F9B"/>
  <w15:chartTrackingRefBased/>
  <w15:docId w15:val="{BE272A84-0B0C-4099-93A0-3AEDE98C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0F"/>
    <w:rPr>
      <w:rFonts w:ascii="Calibri" w:hAnsi="Calibri" w:cs="Calibri"/>
      <w:kern w:val="0"/>
      <w:lang w:eastAsia="en-GB"/>
      <w14:ligatures w14:val="none"/>
    </w:rPr>
  </w:style>
  <w:style w:type="paragraph" w:styleId="Heading1">
    <w:name w:val="heading 1"/>
    <w:basedOn w:val="Normal"/>
    <w:link w:val="Heading1Char"/>
    <w:uiPriority w:val="9"/>
    <w:qFormat/>
    <w:rsid w:val="00B74C0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74C0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74C0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74C0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C0F"/>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B74C0F"/>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B74C0F"/>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B74C0F"/>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B74C0F"/>
    <w:pPr>
      <w:spacing w:before="100" w:beforeAutospacing="1" w:after="100" w:afterAutospacing="1"/>
    </w:pPr>
  </w:style>
  <w:style w:type="character" w:styleId="Strong">
    <w:name w:val="Strong"/>
    <w:basedOn w:val="DefaultParagraphFont"/>
    <w:uiPriority w:val="22"/>
    <w:qFormat/>
    <w:rsid w:val="00B74C0F"/>
    <w:rPr>
      <w:b/>
      <w:bCs/>
    </w:rPr>
  </w:style>
  <w:style w:type="character" w:styleId="Hyperlink">
    <w:name w:val="Hyperlink"/>
    <w:basedOn w:val="DefaultParagraphFont"/>
    <w:uiPriority w:val="99"/>
    <w:semiHidden/>
    <w:unhideWhenUsed/>
    <w:rsid w:val="00B74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13ca01e14&amp;e=d19e9fd41c" TargetMode="External"/><Relationship Id="rId13" Type="http://schemas.openxmlformats.org/officeDocument/2006/relationships/hyperlink" Target="https://psnc.us7.list-manage.com/track/click?u=86d41ab7fa4c7c2c5d7210782&amp;id=d83dd71689&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fa5f6f1a6&amp;e=d19e9fd41c" TargetMode="External"/><Relationship Id="rId17" Type="http://schemas.openxmlformats.org/officeDocument/2006/relationships/hyperlink" Target="https://psnc.us7.list-manage.com/track/click?u=86d41ab7fa4c7c2c5d7210782&amp;id=e944d21944&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82d5deb518&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3ad171d01&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90578773ac&amp;e=d19e9fd41c" TargetMode="External"/><Relationship Id="rId28" Type="http://schemas.openxmlformats.org/officeDocument/2006/relationships/image" Target="https://psnc.us7.list-manage.com/track/open.php?u=86d41ab7fa4c7c2c5d7210782&amp;id=e7629d12ad&amp;e=d19e9fd41c" TargetMode="External"/><Relationship Id="rId10" Type="http://schemas.openxmlformats.org/officeDocument/2006/relationships/hyperlink" Target="https://psnc.us7.list-manage.com/track/click?u=86d41ab7fa4c7c2c5d7210782&amp;id=f97226b6c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b7425e9f6a&amp;e=d19e9fd41c" TargetMode="External"/><Relationship Id="rId14" Type="http://schemas.openxmlformats.org/officeDocument/2006/relationships/hyperlink" Target="https://psnc.us7.list-manage.com/track/click?u=86d41ab7fa4c7c2c5d7210782&amp;id=30337e12cb&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2023-04-18T06:41:00Z</dcterms:created>
  <dcterms:modified xsi:type="dcterms:W3CDTF">2023-04-18T06:42:00Z</dcterms:modified>
</cp:coreProperties>
</file>