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2031CF" w14:paraId="7C9A9F0D" w14:textId="77777777" w:rsidTr="002031CF">
        <w:trPr>
          <w:tblCellSpacing w:w="0" w:type="dxa"/>
          <w:jc w:val="center"/>
        </w:trPr>
        <w:tc>
          <w:tcPr>
            <w:tcW w:w="0" w:type="auto"/>
            <w:shd w:val="clear" w:color="auto" w:fill="FFFFFF"/>
          </w:tcPr>
          <w:tbl>
            <w:tblPr>
              <w:tblW w:w="9026" w:type="dxa"/>
              <w:jc w:val="center"/>
              <w:tblCellSpacing w:w="0" w:type="dxa"/>
              <w:shd w:val="clear" w:color="auto" w:fill="4E3487"/>
              <w:tblCellMar>
                <w:left w:w="0" w:type="dxa"/>
                <w:right w:w="0" w:type="dxa"/>
              </w:tblCellMar>
              <w:tblLook w:val="04A0" w:firstRow="1" w:lastRow="0" w:firstColumn="1" w:lastColumn="0" w:noHBand="0" w:noVBand="1"/>
            </w:tblPr>
            <w:tblGrid>
              <w:gridCol w:w="9000"/>
              <w:gridCol w:w="26"/>
            </w:tblGrid>
            <w:tr w:rsidR="002031CF" w14:paraId="6B832EC1" w14:textId="77777777" w:rsidTr="002031CF">
              <w:trPr>
                <w:gridAfter w:val="1"/>
                <w:wAfter w:w="26" w:type="dxa"/>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2031CF" w14:paraId="5C65469D" w14:textId="77777777">
                    <w:trPr>
                      <w:tblCellSpacing w:w="0" w:type="dxa"/>
                      <w:jc w:val="center"/>
                    </w:trPr>
                    <w:tc>
                      <w:tcPr>
                        <w:tcW w:w="3000" w:type="dxa"/>
                        <w:hideMark/>
                      </w:tcPr>
                      <w:p w14:paraId="0EFB5E81" w14:textId="10B6CA8E" w:rsidR="002031CF" w:rsidRDefault="002031CF">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3452E760" w14:textId="77777777" w:rsidR="002031CF" w:rsidRDefault="002031CF">
                  <w:pPr>
                    <w:jc w:val="center"/>
                    <w:rPr>
                      <w:rFonts w:ascii="Times New Roman" w:eastAsia="Times New Roman" w:hAnsi="Times New Roman" w:cs="Times New Roman"/>
                      <w:sz w:val="20"/>
                      <w:szCs w:val="20"/>
                    </w:rPr>
                  </w:pPr>
                </w:p>
              </w:tc>
            </w:tr>
            <w:tr w:rsidR="002031CF" w14:paraId="2E94D1C7" w14:textId="77777777" w:rsidTr="002031CF">
              <w:tblPrEx>
                <w:shd w:val="clear" w:color="auto" w:fill="auto"/>
              </w:tblPrEx>
              <w:trPr>
                <w:tblCellSpacing w:w="0" w:type="dxa"/>
                <w:jc w:val="center"/>
              </w:trPr>
              <w:tc>
                <w:tcPr>
                  <w:tcW w:w="0" w:type="auto"/>
                  <w:gridSpan w:val="2"/>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031CF" w14:paraId="6C9E6D3B"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4684B848" w14:textId="27088F1E" w:rsidR="002031CF" w:rsidRDefault="002031CF">
                        <w:pPr>
                          <w:jc w:val="center"/>
                          <w:rPr>
                            <w:rFonts w:eastAsia="Times New Roman"/>
                          </w:rPr>
                        </w:pPr>
                        <w:r>
                          <w:rPr>
                            <w:rFonts w:eastAsia="Times New Roman"/>
                            <w:noProof/>
                          </w:rPr>
                          <w:drawing>
                            <wp:inline distT="0" distB="0" distL="0" distR="0" wp14:anchorId="0D801563" wp14:editId="28A041C9">
                              <wp:extent cx="927735" cy="668655"/>
                              <wp:effectExtent l="0" t="0" r="5715" b="17145"/>
                              <wp:docPr id="167117590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27735" cy="668655"/>
                                      </a:xfrm>
                                      <a:prstGeom prst="rect">
                                        <a:avLst/>
                                      </a:prstGeom>
                                      <a:noFill/>
                                      <a:ln>
                                        <a:noFill/>
                                      </a:ln>
                                    </pic:spPr>
                                  </pic:pic>
                                </a:graphicData>
                              </a:graphic>
                            </wp:inline>
                          </w:drawing>
                        </w:r>
                      </w:p>
                    </w:tc>
                  </w:tr>
                  <w:tr w:rsidR="002031CF" w14:paraId="639B0781" w14:textId="77777777">
                    <w:trPr>
                      <w:tblCellSpacing w:w="0" w:type="dxa"/>
                    </w:trPr>
                    <w:tc>
                      <w:tcPr>
                        <w:tcW w:w="0" w:type="auto"/>
                        <w:vMerge/>
                        <w:tcBorders>
                          <w:top w:val="nil"/>
                          <w:left w:val="nil"/>
                          <w:bottom w:val="single" w:sz="2" w:space="0" w:color="FFFFFF"/>
                          <w:right w:val="nil"/>
                        </w:tcBorders>
                        <w:vAlign w:val="center"/>
                        <w:hideMark/>
                      </w:tcPr>
                      <w:p w14:paraId="14D170CA" w14:textId="77777777" w:rsidR="002031CF" w:rsidRDefault="002031CF">
                        <w:pPr>
                          <w:rPr>
                            <w:rFonts w:eastAsia="Times New Roman"/>
                          </w:rPr>
                        </w:pPr>
                      </w:p>
                    </w:tc>
                    <w:tc>
                      <w:tcPr>
                        <w:tcW w:w="3450" w:type="dxa"/>
                        <w:tcBorders>
                          <w:top w:val="nil"/>
                          <w:left w:val="nil"/>
                          <w:bottom w:val="nil"/>
                          <w:right w:val="nil"/>
                        </w:tcBorders>
                        <w:vAlign w:val="center"/>
                        <w:hideMark/>
                      </w:tcPr>
                      <w:p w14:paraId="41E0AEB4" w14:textId="77777777" w:rsidR="002031CF" w:rsidRDefault="002031CF">
                        <w:pPr>
                          <w:pStyle w:val="Heading1"/>
                          <w:rPr>
                            <w:rFonts w:eastAsia="Times New Roman"/>
                          </w:rPr>
                        </w:pPr>
                        <w:r>
                          <w:rPr>
                            <w:rFonts w:eastAsia="Times New Roman"/>
                          </w:rPr>
                          <w:t>PSNC Newsletter</w:t>
                        </w:r>
                      </w:p>
                    </w:tc>
                  </w:tr>
                  <w:tr w:rsidR="002031CF" w14:paraId="7B304D16" w14:textId="77777777">
                    <w:trPr>
                      <w:tblCellSpacing w:w="0" w:type="dxa"/>
                    </w:trPr>
                    <w:tc>
                      <w:tcPr>
                        <w:tcW w:w="0" w:type="auto"/>
                        <w:vMerge/>
                        <w:tcBorders>
                          <w:top w:val="nil"/>
                          <w:left w:val="nil"/>
                          <w:bottom w:val="single" w:sz="2" w:space="0" w:color="FFFFFF"/>
                          <w:right w:val="nil"/>
                        </w:tcBorders>
                        <w:vAlign w:val="center"/>
                        <w:hideMark/>
                      </w:tcPr>
                      <w:p w14:paraId="4D7BD114" w14:textId="77777777" w:rsidR="002031CF" w:rsidRDefault="002031CF">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2210D7B7" w14:textId="77777777" w:rsidR="002031CF" w:rsidRDefault="002031CF">
                        <w:pPr>
                          <w:pStyle w:val="Heading2"/>
                          <w:rPr>
                            <w:rFonts w:eastAsia="Times New Roman"/>
                            <w:color w:val="93378A"/>
                          </w:rPr>
                        </w:pPr>
                        <w:r>
                          <w:rPr>
                            <w:rFonts w:eastAsia="Times New Roman"/>
                            <w:color w:val="93378A"/>
                          </w:rPr>
                          <w:t>Friday 5th May 2023</w:t>
                        </w:r>
                      </w:p>
                    </w:tc>
                  </w:tr>
                </w:tbl>
                <w:p w14:paraId="070A3B62" w14:textId="77777777" w:rsidR="002031CF" w:rsidRDefault="002031CF">
                  <w:pPr>
                    <w:rPr>
                      <w:rFonts w:ascii="Times New Roman" w:eastAsia="Times New Roman" w:hAnsi="Times New Roman" w:cs="Times New Roman"/>
                      <w:sz w:val="20"/>
                      <w:szCs w:val="20"/>
                    </w:rPr>
                  </w:pPr>
                </w:p>
              </w:tc>
            </w:tr>
            <w:tr w:rsidR="002031CF" w14:paraId="2F989B04" w14:textId="77777777" w:rsidTr="002031CF">
              <w:tblPrEx>
                <w:shd w:val="clear" w:color="auto" w:fill="auto"/>
              </w:tblPrEx>
              <w:trPr>
                <w:tblCellSpacing w:w="0" w:type="dxa"/>
                <w:jc w:val="center"/>
              </w:trPr>
              <w:tc>
                <w:tcPr>
                  <w:tcW w:w="9026" w:type="dxa"/>
                  <w:gridSpan w:val="2"/>
                  <w:hideMark/>
                </w:tcPr>
                <w:p w14:paraId="1E409B75" w14:textId="51659AC6" w:rsidR="002031CF" w:rsidRDefault="002031CF">
                  <w:pPr>
                    <w:rPr>
                      <w:rFonts w:eastAsia="Times New Roman"/>
                    </w:rPr>
                  </w:pPr>
                  <w:r>
                    <w:rPr>
                      <w:rFonts w:eastAsia="Times New Roman"/>
                      <w:noProof/>
                    </w:rPr>
                    <w:drawing>
                      <wp:inline distT="0" distB="0" distL="0" distR="0" wp14:anchorId="05C12221" wp14:editId="4F322295">
                        <wp:extent cx="5718175" cy="204470"/>
                        <wp:effectExtent l="0" t="0" r="15875" b="5080"/>
                        <wp:docPr id="170910129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8175" cy="204470"/>
                                </a:xfrm>
                                <a:prstGeom prst="rect">
                                  <a:avLst/>
                                </a:prstGeom>
                                <a:noFill/>
                                <a:ln>
                                  <a:noFill/>
                                </a:ln>
                              </pic:spPr>
                            </pic:pic>
                          </a:graphicData>
                        </a:graphic>
                      </wp:inline>
                    </w:drawing>
                  </w:r>
                </w:p>
              </w:tc>
            </w:tr>
            <w:tr w:rsidR="002031CF" w14:paraId="6FFF8830" w14:textId="77777777" w:rsidTr="002031CF">
              <w:tblPrEx>
                <w:shd w:val="clear" w:color="auto" w:fill="auto"/>
              </w:tblPrEx>
              <w:trPr>
                <w:tblCellSpacing w:w="0" w:type="dxa"/>
                <w:jc w:val="center"/>
              </w:trPr>
              <w:tc>
                <w:tcPr>
                  <w:tcW w:w="902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2031CF" w14:paraId="4B1CCB95" w14:textId="77777777">
                    <w:trPr>
                      <w:trHeight w:val="150"/>
                      <w:tblCellSpacing w:w="15" w:type="dxa"/>
                      <w:jc w:val="center"/>
                    </w:trPr>
                    <w:tc>
                      <w:tcPr>
                        <w:tcW w:w="150" w:type="dxa"/>
                        <w:vAlign w:val="center"/>
                        <w:hideMark/>
                      </w:tcPr>
                      <w:p w14:paraId="0C7FB52F" w14:textId="77777777" w:rsidR="002031CF" w:rsidRDefault="002031CF">
                        <w:pPr>
                          <w:rPr>
                            <w:rFonts w:eastAsia="Times New Roman"/>
                          </w:rPr>
                        </w:pPr>
                      </w:p>
                    </w:tc>
                    <w:tc>
                      <w:tcPr>
                        <w:tcW w:w="8700" w:type="dxa"/>
                        <w:vAlign w:val="center"/>
                        <w:hideMark/>
                      </w:tcPr>
                      <w:p w14:paraId="1A567F8D" w14:textId="77777777" w:rsidR="002031CF" w:rsidRDefault="002031CF">
                        <w:pPr>
                          <w:rPr>
                            <w:rFonts w:ascii="Times New Roman" w:eastAsia="Times New Roman" w:hAnsi="Times New Roman" w:cs="Times New Roman"/>
                            <w:sz w:val="20"/>
                            <w:szCs w:val="20"/>
                          </w:rPr>
                        </w:pPr>
                      </w:p>
                    </w:tc>
                    <w:tc>
                      <w:tcPr>
                        <w:tcW w:w="150" w:type="dxa"/>
                        <w:vAlign w:val="center"/>
                        <w:hideMark/>
                      </w:tcPr>
                      <w:p w14:paraId="036815E6" w14:textId="77777777" w:rsidR="002031CF" w:rsidRDefault="002031CF">
                        <w:pPr>
                          <w:rPr>
                            <w:rFonts w:ascii="Times New Roman" w:eastAsia="Times New Roman" w:hAnsi="Times New Roman" w:cs="Times New Roman"/>
                            <w:sz w:val="20"/>
                            <w:szCs w:val="20"/>
                          </w:rPr>
                        </w:pPr>
                      </w:p>
                    </w:tc>
                  </w:tr>
                  <w:tr w:rsidR="002031CF" w14:paraId="1D318173" w14:textId="77777777">
                    <w:trPr>
                      <w:tblCellSpacing w:w="15" w:type="dxa"/>
                      <w:jc w:val="center"/>
                    </w:trPr>
                    <w:tc>
                      <w:tcPr>
                        <w:tcW w:w="150" w:type="dxa"/>
                        <w:vAlign w:val="center"/>
                        <w:hideMark/>
                      </w:tcPr>
                      <w:p w14:paraId="2ABAE15B" w14:textId="77777777" w:rsidR="002031CF" w:rsidRDefault="002031CF" w:rsidP="002031CF">
                        <w:pPr>
                          <w:spacing w:line="264" w:lineRule="auto"/>
                          <w:rPr>
                            <w:rFonts w:ascii="Times New Roman" w:eastAsia="Times New Roman" w:hAnsi="Times New Roman" w:cs="Times New Roman"/>
                            <w:sz w:val="20"/>
                            <w:szCs w:val="20"/>
                          </w:rPr>
                        </w:pPr>
                      </w:p>
                    </w:tc>
                    <w:tc>
                      <w:tcPr>
                        <w:tcW w:w="8700" w:type="dxa"/>
                        <w:vAlign w:val="center"/>
                        <w:hideMark/>
                      </w:tcPr>
                      <w:p w14:paraId="5E642BCF" w14:textId="77777777" w:rsidR="002031CF" w:rsidRDefault="002031CF" w:rsidP="002031C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43F1968A" w14:textId="77777777" w:rsidR="002031CF" w:rsidRDefault="002031CF" w:rsidP="002031C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D46F114">
                            <v:rect id="_x0000_i1032" style="width:468pt;height:1.5pt" o:hrstd="t" o:hr="t" fillcolor="#a0a0a0" stroked="f"/>
                          </w:pict>
                        </w:r>
                      </w:p>
                      <w:p w14:paraId="26290D04" w14:textId="77777777" w:rsidR="002031CF" w:rsidRDefault="002031CF" w:rsidP="002031CF">
                        <w:pPr>
                          <w:pStyle w:val="Heading2"/>
                          <w:spacing w:after="0"/>
                          <w:rPr>
                            <w:rFonts w:eastAsia="Times New Roman"/>
                          </w:rPr>
                        </w:pPr>
                        <w:r>
                          <w:rPr>
                            <w:rFonts w:eastAsia="Times New Roman"/>
                          </w:rPr>
                          <w:t>In this update: Book your spot: Regulatory Changes Webinar; FP34C deadline extended; Dispensing and Supply Updates.</w:t>
                        </w:r>
                      </w:p>
                      <w:p w14:paraId="0FE526FA" w14:textId="77777777" w:rsidR="002031CF" w:rsidRDefault="002031CF" w:rsidP="002031C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59B62BD">
                            <v:rect id="_x0000_i1033" style="width:468pt;height:1.5pt" o:hrstd="t" o:hr="t" fillcolor="#a0a0a0" stroked="f"/>
                          </w:pict>
                        </w:r>
                      </w:p>
                      <w:p w14:paraId="6514F419" w14:textId="77777777" w:rsidR="002031CF" w:rsidRDefault="002031CF" w:rsidP="002031CF">
                        <w:pPr>
                          <w:pStyle w:val="Heading3"/>
                          <w:spacing w:after="0"/>
                          <w:rPr>
                            <w:rFonts w:eastAsia="Times New Roman"/>
                          </w:rPr>
                        </w:pPr>
                        <w:r>
                          <w:rPr>
                            <w:rFonts w:eastAsia="Times New Roman"/>
                          </w:rPr>
                          <w:t>Reminder to book your spot for our Regulatory Changes Webinar</w:t>
                        </w:r>
                      </w:p>
                      <w:p w14:paraId="6FE55485" w14:textId="77777777" w:rsidR="002031CF" w:rsidRDefault="002031CF" w:rsidP="002031C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PSNC will be </w:t>
                        </w:r>
                        <w:proofErr w:type="spellStart"/>
                        <w:r>
                          <w:rPr>
                            <w:rFonts w:ascii="Tahoma" w:hAnsi="Tahoma" w:cs="Tahoma"/>
                            <w:color w:val="303030"/>
                            <w:sz w:val="21"/>
                            <w:szCs w:val="21"/>
                          </w:rPr>
                          <w:t>runninga</w:t>
                        </w:r>
                        <w:proofErr w:type="spellEnd"/>
                        <w:r>
                          <w:rPr>
                            <w:rFonts w:ascii="Tahoma" w:hAnsi="Tahoma" w:cs="Tahoma"/>
                            <w:color w:val="303030"/>
                            <w:sz w:val="21"/>
                            <w:szCs w:val="21"/>
                          </w:rPr>
                          <w:t xml:space="preserve"> webinar for community pharmacy contractors on </w:t>
                        </w:r>
                        <w:r>
                          <w:rPr>
                            <w:rStyle w:val="Strong"/>
                            <w:rFonts w:ascii="Tahoma" w:hAnsi="Tahoma" w:cs="Tahoma"/>
                            <w:color w:val="303030"/>
                            <w:sz w:val="21"/>
                            <w:szCs w:val="21"/>
                          </w:rPr>
                          <w:t>Tuesday 16th May at 7pm</w:t>
                        </w:r>
                        <w:r>
                          <w:rPr>
                            <w:rFonts w:ascii="Tahoma" w:hAnsi="Tahoma" w:cs="Tahoma"/>
                            <w:color w:val="303030"/>
                            <w:sz w:val="21"/>
                            <w:szCs w:val="21"/>
                          </w:rPr>
                          <w:t> about the Department of Health and Social Care's (DHSC) upcoming changes to the Pharmaceutical Regulations. </w:t>
                        </w:r>
                      </w:p>
                      <w:p w14:paraId="614CE63F" w14:textId="77777777" w:rsidR="002031CF" w:rsidRDefault="002031CF" w:rsidP="002031CF">
                        <w:pPr>
                          <w:pStyle w:val="NormalWeb"/>
                          <w:spacing w:before="0" w:beforeAutospacing="0" w:after="0" w:afterAutospacing="0" w:line="264" w:lineRule="auto"/>
                          <w:rPr>
                            <w:rFonts w:ascii="Tahoma" w:hAnsi="Tahoma" w:cs="Tahoma"/>
                            <w:color w:val="303030"/>
                            <w:sz w:val="21"/>
                            <w:szCs w:val="21"/>
                          </w:rPr>
                        </w:pPr>
                      </w:p>
                      <w:p w14:paraId="4BE872AB" w14:textId="77777777" w:rsidR="002031CF" w:rsidRDefault="002031CF" w:rsidP="002031C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Hosted by Gordon Hockey, Director of Legal, this PSNC webinar will take attendees through the flexibilities for contractors to close for rest breaks and the provisions against which Integrated Care Boards (ICBs) may agree local hours plans. He will also look at business continuity plans to deal with temporary closures, and review the options for 100-hour pharmacies to reduce their core hours.</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Register for the webinar</w:t>
                          </w:r>
                        </w:hyperlink>
                      </w:p>
                      <w:p w14:paraId="2F83E9CE" w14:textId="77777777" w:rsidR="002031CF" w:rsidRDefault="002031CF" w:rsidP="002031C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527914D">
                            <v:rect id="_x0000_i1034" style="width:468pt;height:1.5pt" o:hrstd="t" o:hr="t" fillcolor="#a0a0a0" stroked="f"/>
                          </w:pict>
                        </w:r>
                      </w:p>
                      <w:p w14:paraId="72AD5BF3" w14:textId="77777777" w:rsidR="002031CF" w:rsidRDefault="002031CF" w:rsidP="002031CF">
                        <w:pPr>
                          <w:pStyle w:val="Heading3"/>
                          <w:spacing w:after="0"/>
                          <w:rPr>
                            <w:rFonts w:eastAsia="Times New Roman"/>
                          </w:rPr>
                        </w:pPr>
                        <w:r>
                          <w:rPr>
                            <w:rFonts w:eastAsia="Times New Roman"/>
                          </w:rPr>
                          <w:t>Extended FP34C submission deadline for prescriptions dispensed in April 2023</w:t>
                        </w:r>
                      </w:p>
                      <w:p w14:paraId="7FAD6A7E" w14:textId="77777777" w:rsidR="002031CF" w:rsidRDefault="002031CF" w:rsidP="002031C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With the early May bank holiday (1st May 2023) occurring in the first five days of the submission window contractors have an extra day, until the end of 6th of May, to submit their April FP34C declaration using the </w:t>
                        </w:r>
                        <w:hyperlink r:id="rId10" w:history="1">
                          <w:r>
                            <w:rPr>
                              <w:rStyle w:val="Hyperlink"/>
                              <w:rFonts w:ascii="Tahoma" w:hAnsi="Tahoma" w:cs="Tahoma"/>
                              <w:b/>
                              <w:bCs/>
                              <w:color w:val="4E3487"/>
                              <w:sz w:val="21"/>
                              <w:szCs w:val="21"/>
                            </w:rPr>
                            <w:t>Manage Your Service (MYS) portal</w:t>
                          </w:r>
                        </w:hyperlink>
                        <w:r>
                          <w:rPr>
                            <w:rFonts w:ascii="Tahoma" w:hAnsi="Tahoma" w:cs="Tahoma"/>
                            <w:color w:val="303030"/>
                            <w:sz w:val="21"/>
                            <w:szCs w:val="21"/>
                          </w:rPr>
                          <w:t> and to dispatch their prescription bundle to the relevant pricing division at the NHSBSA. </w:t>
                        </w:r>
                        <w:r>
                          <w:rPr>
                            <w:rFonts w:ascii="Tahoma" w:hAnsi="Tahoma" w:cs="Tahoma"/>
                            <w:color w:val="303030"/>
                            <w:sz w:val="21"/>
                            <w:szCs w:val="21"/>
                          </w:rPr>
                          <w:br/>
                        </w:r>
                        <w:r>
                          <w:rPr>
                            <w:rFonts w:ascii="Tahoma" w:hAnsi="Tahoma" w:cs="Tahoma"/>
                            <w:color w:val="303030"/>
                            <w:sz w:val="21"/>
                            <w:szCs w:val="21"/>
                          </w:rPr>
                          <w:br/>
                          <w:t>Please note the requirement to submit electronic Claim Notification (CN) messages or Electronic Reimbursement Endorsement Messages (EREMs) within the first 5 days of the following month remains unchanged.</w:t>
                        </w:r>
                      </w:p>
                      <w:p w14:paraId="08BF2E7A" w14:textId="77777777" w:rsidR="002031CF" w:rsidRDefault="002031CF" w:rsidP="002031CF">
                        <w:pPr>
                          <w:spacing w:line="264" w:lineRule="auto"/>
                          <w:rPr>
                            <w:rFonts w:ascii="Tahoma" w:eastAsia="Times New Roman" w:hAnsi="Tahoma" w:cs="Tahoma"/>
                            <w:color w:val="303030"/>
                            <w:sz w:val="21"/>
                            <w:szCs w:val="21"/>
                          </w:rPr>
                        </w:pPr>
                      </w:p>
                      <w:p w14:paraId="3ADB4F4C" w14:textId="5E29E83C" w:rsidR="002031CF" w:rsidRDefault="002031CF" w:rsidP="002031CF">
                        <w:pPr>
                          <w:spacing w:line="264" w:lineRule="auto"/>
                          <w:rPr>
                            <w:rFonts w:ascii="Tahoma" w:eastAsia="Times New Roman" w:hAnsi="Tahoma" w:cs="Tahoma"/>
                            <w:color w:val="303030"/>
                            <w:sz w:val="21"/>
                            <w:szCs w:val="21"/>
                          </w:rPr>
                        </w:pPr>
                        <w:hyperlink r:id="rId11" w:tgtFrame="_blank" w:history="1">
                          <w:r>
                            <w:rPr>
                              <w:rStyle w:val="Hyperlink"/>
                              <w:rFonts w:ascii="Tahoma" w:eastAsia="Times New Roman" w:hAnsi="Tahoma" w:cs="Tahoma"/>
                              <w:b/>
                              <w:bCs/>
                              <w:color w:val="4E3487"/>
                              <w:sz w:val="21"/>
                              <w:szCs w:val="21"/>
                            </w:rPr>
                            <w:t>Read more</w:t>
                          </w:r>
                        </w:hyperlink>
                        <w:r>
                          <w:rPr>
                            <w:rFonts w:ascii="Tahoma" w:eastAsia="Times New Roman" w:hAnsi="Tahoma" w:cs="Tahoma"/>
                            <w:color w:val="303030"/>
                            <w:sz w:val="21"/>
                            <w:szCs w:val="21"/>
                          </w:rPr>
                          <w:t xml:space="preserve"> </w:t>
                        </w:r>
                      </w:p>
                      <w:p w14:paraId="0A7DE344" w14:textId="77777777" w:rsidR="002031CF" w:rsidRDefault="002031CF" w:rsidP="002031C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9FE09FE">
                            <v:rect id="_x0000_i1035" style="width:468pt;height:1.5pt" o:hrstd="t" o:hr="t" fillcolor="#a0a0a0" stroked="f"/>
                          </w:pict>
                        </w:r>
                      </w:p>
                      <w:p w14:paraId="1A845437" w14:textId="77777777" w:rsidR="002031CF" w:rsidRDefault="002031CF" w:rsidP="002031CF">
                        <w:pPr>
                          <w:pStyle w:val="Heading2"/>
                          <w:spacing w:after="0"/>
                          <w:rPr>
                            <w:rFonts w:eastAsia="Times New Roman"/>
                          </w:rPr>
                        </w:pPr>
                        <w:r>
                          <w:rPr>
                            <w:rFonts w:eastAsia="Times New Roman"/>
                          </w:rPr>
                          <w:t>Dispensing and Supply Updates</w:t>
                        </w:r>
                      </w:p>
                      <w:p w14:paraId="619F7169" w14:textId="77777777" w:rsidR="002031CF" w:rsidRDefault="002031CF" w:rsidP="002031CF">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Contractor Notice: SSPs further extended</w:t>
                        </w:r>
                        <w:r>
                          <w:rPr>
                            <w:rFonts w:ascii="Tahoma" w:hAnsi="Tahoma" w:cs="Tahoma"/>
                            <w:color w:val="303030"/>
                            <w:sz w:val="21"/>
                            <w:szCs w:val="21"/>
                          </w:rPr>
                          <w:br/>
                          <w:t xml:space="preserve">The DHSC has decided to extend the following Serious Shortage Protocols (SSPs) </w:t>
                        </w:r>
                        <w:r>
                          <w:rPr>
                            <w:rStyle w:val="Strong"/>
                            <w:rFonts w:ascii="Tahoma" w:hAnsi="Tahoma" w:cs="Tahoma"/>
                            <w:color w:val="303030"/>
                            <w:sz w:val="21"/>
                            <w:szCs w:val="21"/>
                          </w:rPr>
                          <w:t>Friday 12th May 2023.</w:t>
                        </w:r>
                      </w:p>
                      <w:p w14:paraId="3CCEA229" w14:textId="77777777" w:rsidR="002031CF" w:rsidRDefault="002031CF" w:rsidP="002031CF">
                        <w:pPr>
                          <w:numPr>
                            <w:ilvl w:val="0"/>
                            <w:numId w:val="1"/>
                          </w:numPr>
                          <w:spacing w:line="264" w:lineRule="auto"/>
                          <w:rPr>
                            <w:rFonts w:ascii="Tahoma" w:eastAsia="Times New Roman" w:hAnsi="Tahoma" w:cs="Tahoma"/>
                            <w:color w:val="303030"/>
                            <w:sz w:val="21"/>
                            <w:szCs w:val="21"/>
                          </w:rPr>
                        </w:pPr>
                        <w:hyperlink r:id="rId12" w:tgtFrame="_blank" w:history="1">
                          <w:r>
                            <w:rPr>
                              <w:rStyle w:val="Hyperlink"/>
                              <w:rFonts w:ascii="Tahoma" w:eastAsia="Times New Roman" w:hAnsi="Tahoma" w:cs="Tahoma"/>
                              <w:b/>
                              <w:bCs/>
                              <w:color w:val="4E3487"/>
                              <w:sz w:val="21"/>
                              <w:szCs w:val="21"/>
                            </w:rPr>
                            <w:t>Paracetamol 120mg suppository (SSP050)</w:t>
                          </w:r>
                        </w:hyperlink>
                      </w:p>
                      <w:p w14:paraId="5E2FD0A4" w14:textId="77777777" w:rsidR="002031CF" w:rsidRDefault="002031CF" w:rsidP="002031CF">
                        <w:pPr>
                          <w:numPr>
                            <w:ilvl w:val="0"/>
                            <w:numId w:val="1"/>
                          </w:numPr>
                          <w:spacing w:line="264" w:lineRule="auto"/>
                          <w:rPr>
                            <w:rFonts w:ascii="Tahoma" w:eastAsia="Times New Roman" w:hAnsi="Tahoma" w:cs="Tahoma"/>
                            <w:color w:val="303030"/>
                            <w:sz w:val="21"/>
                            <w:szCs w:val="21"/>
                          </w:rPr>
                        </w:pPr>
                        <w:hyperlink r:id="rId13" w:tgtFrame="_blank" w:history="1">
                          <w:r>
                            <w:rPr>
                              <w:rStyle w:val="Hyperlink"/>
                              <w:rFonts w:ascii="Tahoma" w:eastAsia="Times New Roman" w:hAnsi="Tahoma" w:cs="Tahoma"/>
                              <w:b/>
                              <w:bCs/>
                              <w:color w:val="4E3487"/>
                              <w:sz w:val="21"/>
                              <w:szCs w:val="21"/>
                            </w:rPr>
                            <w:t>Paracetamol 240mg suppository (SSP051)</w:t>
                          </w:r>
                        </w:hyperlink>
                      </w:p>
                      <w:p w14:paraId="6252A134" w14:textId="77777777" w:rsidR="002031CF" w:rsidRDefault="002031CF" w:rsidP="002031CF">
                        <w:pPr>
                          <w:spacing w:line="264" w:lineRule="auto"/>
                          <w:rPr>
                            <w:rStyle w:val="Strong"/>
                            <w:rFonts w:ascii="Tahoma" w:eastAsia="Times New Roman" w:hAnsi="Tahoma" w:cs="Tahoma"/>
                            <w:color w:val="303030"/>
                            <w:sz w:val="21"/>
                            <w:szCs w:val="21"/>
                          </w:rPr>
                        </w:pPr>
                      </w:p>
                      <w:p w14:paraId="6B6403EF" w14:textId="2966A848" w:rsidR="002031CF" w:rsidRDefault="002031CF" w:rsidP="002031CF">
                        <w:p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 xml:space="preserve">Expiry of SSP055 </w:t>
                        </w:r>
                        <w:proofErr w:type="spellStart"/>
                        <w:r>
                          <w:rPr>
                            <w:rStyle w:val="Strong"/>
                            <w:rFonts w:ascii="Tahoma" w:eastAsia="Times New Roman" w:hAnsi="Tahoma" w:cs="Tahoma"/>
                            <w:color w:val="303030"/>
                            <w:sz w:val="21"/>
                            <w:szCs w:val="21"/>
                          </w:rPr>
                          <w:t>Estradot</w:t>
                        </w:r>
                        <w:proofErr w:type="spellEnd"/>
                        <w:r>
                          <w:rPr>
                            <w:rStyle w:val="Strong"/>
                            <w:rFonts w:ascii="Tahoma" w:eastAsia="Times New Roman" w:hAnsi="Tahoma" w:cs="Tahoma"/>
                            <w:color w:val="303030"/>
                            <w:sz w:val="21"/>
                            <w:szCs w:val="21"/>
                          </w:rPr>
                          <w:t>® 75mcg patches</w:t>
                        </w:r>
                        <w:r>
                          <w:rPr>
                            <w:rFonts w:ascii="Tahoma" w:eastAsia="Times New Roman" w:hAnsi="Tahoma" w:cs="Tahoma"/>
                            <w:color w:val="303030"/>
                            <w:sz w:val="21"/>
                            <w:szCs w:val="21"/>
                          </w:rPr>
                          <w:br/>
                          <w:t xml:space="preserve">The DHSC has confirmed that sufficient stock of </w:t>
                        </w:r>
                        <w:proofErr w:type="spellStart"/>
                        <w:r>
                          <w:rPr>
                            <w:rFonts w:ascii="Tahoma" w:eastAsia="Times New Roman" w:hAnsi="Tahoma" w:cs="Tahoma"/>
                            <w:color w:val="303030"/>
                            <w:sz w:val="21"/>
                            <w:szCs w:val="21"/>
                          </w:rPr>
                          <w:t>Estradot</w:t>
                        </w:r>
                        <w:proofErr w:type="spellEnd"/>
                        <w:r>
                          <w:rPr>
                            <w:rFonts w:ascii="Tahoma" w:eastAsia="Times New Roman" w:hAnsi="Tahoma" w:cs="Tahoma"/>
                            <w:color w:val="303030"/>
                            <w:sz w:val="21"/>
                            <w:szCs w:val="21"/>
                            <w:vertAlign w:val="superscript"/>
                          </w:rPr>
                          <w:t>®</w:t>
                        </w:r>
                        <w:r>
                          <w:rPr>
                            <w:rFonts w:ascii="Tahoma" w:eastAsia="Times New Roman" w:hAnsi="Tahoma" w:cs="Tahoma"/>
                            <w:color w:val="303030"/>
                            <w:sz w:val="21"/>
                            <w:szCs w:val="21"/>
                          </w:rPr>
                          <w:t> 75mcg patches is now available to meet normal demand. As a result, </w:t>
                        </w:r>
                        <w:r>
                          <w:rPr>
                            <w:rStyle w:val="Strong"/>
                            <w:rFonts w:ascii="Tahoma" w:eastAsia="Times New Roman" w:hAnsi="Tahoma" w:cs="Tahoma"/>
                            <w:color w:val="303030"/>
                            <w:sz w:val="21"/>
                            <w:szCs w:val="21"/>
                          </w:rPr>
                          <w:t>SSP055 expires today (5th May 2023) at 23.59pm</w:t>
                        </w:r>
                        <w:r>
                          <w:rPr>
                            <w:rFonts w:ascii="Tahoma" w:eastAsia="Times New Roman" w:hAnsi="Tahoma" w:cs="Tahoma"/>
                            <w:color w:val="303030"/>
                            <w:sz w:val="21"/>
                            <w:szCs w:val="21"/>
                          </w:rPr>
                          <w:t>. </w:t>
                        </w:r>
                        <w:hyperlink r:id="rId14" w:tgtFrame="_blank" w:history="1">
                          <w:r>
                            <w:rPr>
                              <w:rStyle w:val="Strong"/>
                              <w:rFonts w:ascii="Tahoma" w:eastAsia="Times New Roman" w:hAnsi="Tahoma" w:cs="Tahoma"/>
                              <w:color w:val="4E3487"/>
                              <w:sz w:val="21"/>
                              <w:szCs w:val="21"/>
                            </w:rPr>
                            <w:t>Learn</w:t>
                          </w:r>
                        </w:hyperlink>
                        <w:hyperlink r:id="rId15" w:tgtFrame="_blank" w:history="1">
                          <w:r>
                            <w:rPr>
                              <w:rStyle w:val="Strong"/>
                              <w:rFonts w:ascii="Tahoma" w:eastAsia="Times New Roman" w:hAnsi="Tahoma" w:cs="Tahoma"/>
                              <w:color w:val="4E3487"/>
                              <w:sz w:val="21"/>
                              <w:szCs w:val="21"/>
                            </w:rPr>
                            <w:t> more</w:t>
                          </w:r>
                        </w:hyperlink>
                      </w:p>
                    </w:tc>
                    <w:tc>
                      <w:tcPr>
                        <w:tcW w:w="150" w:type="dxa"/>
                        <w:vAlign w:val="center"/>
                        <w:hideMark/>
                      </w:tcPr>
                      <w:p w14:paraId="76F7D84A" w14:textId="77777777" w:rsidR="002031CF" w:rsidRDefault="002031CF">
                        <w:pPr>
                          <w:rPr>
                            <w:rFonts w:ascii="Tahoma" w:eastAsia="Times New Roman" w:hAnsi="Tahoma" w:cs="Tahoma"/>
                            <w:color w:val="303030"/>
                            <w:sz w:val="21"/>
                            <w:szCs w:val="21"/>
                          </w:rPr>
                        </w:pPr>
                      </w:p>
                    </w:tc>
                  </w:tr>
                  <w:tr w:rsidR="002031CF" w14:paraId="310F2CB5" w14:textId="77777777">
                    <w:trPr>
                      <w:trHeight w:val="150"/>
                      <w:tblCellSpacing w:w="15" w:type="dxa"/>
                      <w:jc w:val="center"/>
                    </w:trPr>
                    <w:tc>
                      <w:tcPr>
                        <w:tcW w:w="150" w:type="dxa"/>
                        <w:vAlign w:val="center"/>
                        <w:hideMark/>
                      </w:tcPr>
                      <w:p w14:paraId="0F3FE848" w14:textId="77777777" w:rsidR="002031CF" w:rsidRDefault="002031CF">
                        <w:pPr>
                          <w:rPr>
                            <w:rFonts w:ascii="Times New Roman" w:eastAsia="Times New Roman" w:hAnsi="Times New Roman" w:cs="Times New Roman"/>
                            <w:sz w:val="20"/>
                            <w:szCs w:val="20"/>
                          </w:rPr>
                        </w:pPr>
                      </w:p>
                    </w:tc>
                    <w:tc>
                      <w:tcPr>
                        <w:tcW w:w="8700" w:type="dxa"/>
                        <w:vAlign w:val="center"/>
                        <w:hideMark/>
                      </w:tcPr>
                      <w:p w14:paraId="21BEBAEB" w14:textId="77777777" w:rsidR="002031CF" w:rsidRDefault="002031CF">
                        <w:pPr>
                          <w:rPr>
                            <w:rFonts w:ascii="Times New Roman" w:eastAsia="Times New Roman" w:hAnsi="Times New Roman" w:cs="Times New Roman"/>
                            <w:sz w:val="20"/>
                            <w:szCs w:val="20"/>
                          </w:rPr>
                        </w:pPr>
                      </w:p>
                    </w:tc>
                    <w:tc>
                      <w:tcPr>
                        <w:tcW w:w="150" w:type="dxa"/>
                        <w:vAlign w:val="center"/>
                        <w:hideMark/>
                      </w:tcPr>
                      <w:p w14:paraId="2D159C05" w14:textId="77777777" w:rsidR="002031CF" w:rsidRDefault="002031CF">
                        <w:pPr>
                          <w:rPr>
                            <w:rFonts w:ascii="Times New Roman" w:eastAsia="Times New Roman" w:hAnsi="Times New Roman" w:cs="Times New Roman"/>
                            <w:sz w:val="20"/>
                            <w:szCs w:val="20"/>
                          </w:rPr>
                        </w:pPr>
                      </w:p>
                    </w:tc>
                  </w:tr>
                </w:tbl>
                <w:p w14:paraId="2E32DAC5" w14:textId="77777777" w:rsidR="002031CF" w:rsidRDefault="002031CF">
                  <w:pPr>
                    <w:jc w:val="center"/>
                    <w:rPr>
                      <w:rFonts w:ascii="Times New Roman" w:eastAsia="Times New Roman" w:hAnsi="Times New Roman" w:cs="Times New Roman"/>
                      <w:sz w:val="20"/>
                      <w:szCs w:val="20"/>
                    </w:rPr>
                  </w:pPr>
                </w:p>
              </w:tc>
            </w:tr>
          </w:tbl>
          <w:p w14:paraId="3918845C" w14:textId="77777777" w:rsidR="002031CF" w:rsidRDefault="002031CF">
            <w:pPr>
              <w:jc w:val="center"/>
              <w:rPr>
                <w:rFonts w:ascii="Times New Roman" w:eastAsia="Times New Roman" w:hAnsi="Times New Roman" w:cs="Times New Roman"/>
                <w:sz w:val="20"/>
                <w:szCs w:val="20"/>
              </w:rPr>
            </w:pPr>
          </w:p>
        </w:tc>
      </w:tr>
      <w:tr w:rsidR="002031CF" w14:paraId="34B548E0" w14:textId="77777777" w:rsidTr="002031CF">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2031CF" w14:paraId="4A165FEC"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2031CF" w14:paraId="6D2A138D" w14:textId="77777777">
                    <w:trPr>
                      <w:tblCellSpacing w:w="0" w:type="dxa"/>
                      <w:jc w:val="center"/>
                    </w:trPr>
                    <w:tc>
                      <w:tcPr>
                        <w:tcW w:w="3000" w:type="dxa"/>
                        <w:tcMar>
                          <w:top w:w="30" w:type="dxa"/>
                          <w:left w:w="75" w:type="dxa"/>
                          <w:bottom w:w="30" w:type="dxa"/>
                          <w:right w:w="75" w:type="dxa"/>
                        </w:tcMar>
                        <w:hideMark/>
                      </w:tcPr>
                      <w:p w14:paraId="52D4A990" w14:textId="77777777" w:rsidR="002031CF" w:rsidRDefault="002031CF">
                        <w:pPr>
                          <w:pStyle w:val="Heading4"/>
                          <w:jc w:val="center"/>
                          <w:rPr>
                            <w:rFonts w:eastAsia="Times New Roman"/>
                          </w:rPr>
                        </w:pPr>
                        <w:r>
                          <w:rPr>
                            <w:rFonts w:eastAsia="Times New Roman"/>
                          </w:rPr>
                          <w:lastRenderedPageBreak/>
                          <w:t>Pharmaceutical Services Negotiating Committee</w:t>
                        </w:r>
                      </w:p>
                      <w:p w14:paraId="4379CC42" w14:textId="5526A1A0" w:rsidR="002031CF" w:rsidRDefault="002031CF">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1D23901" wp14:editId="3A75D2D9">
                              <wp:extent cx="614045" cy="300355"/>
                              <wp:effectExtent l="0" t="0" r="14605" b="4445"/>
                              <wp:docPr id="1014504292" name="Picture 5">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14045" cy="300355"/>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8E1AC22" wp14:editId="4B643BE4">
                              <wp:extent cx="614045" cy="300355"/>
                              <wp:effectExtent l="0" t="0" r="14605" b="4445"/>
                              <wp:docPr id="1995765529" name="Picture 4">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14045" cy="300355"/>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4958D36" wp14:editId="79F0B2C3">
                              <wp:extent cx="614045" cy="300355"/>
                              <wp:effectExtent l="0" t="0" r="14605" b="4445"/>
                              <wp:docPr id="1699485980" name="Picture 3">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14045" cy="300355"/>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85729EE" wp14:editId="4940A665">
                              <wp:extent cx="614045" cy="300355"/>
                              <wp:effectExtent l="0" t="0" r="14605" b="4445"/>
                              <wp:docPr id="1325749940" name="Picture 2">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614045" cy="300355"/>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329DDCBD" w14:textId="77777777" w:rsidR="002031CF" w:rsidRDefault="002031CF">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8" w:tgtFrame="_blank" w:history="1">
                          <w:r>
                            <w:rPr>
                              <w:rStyle w:val="Hyperlink"/>
                              <w:rFonts w:ascii="Tahoma" w:eastAsia="Times New Roman" w:hAnsi="Tahoma" w:cs="Tahoma"/>
                              <w:b/>
                              <w:bCs/>
                              <w:color w:val="FFFFFF"/>
                              <w:sz w:val="18"/>
                              <w:szCs w:val="18"/>
                            </w:rPr>
                            <w:t>info@psnc.org.uk</w:t>
                          </w:r>
                        </w:hyperlink>
                      </w:p>
                    </w:tc>
                  </w:tr>
                  <w:tr w:rsidR="002031CF" w14:paraId="7950FC96" w14:textId="77777777" w:rsidTr="002031CF">
                    <w:trPr>
                      <w:trHeight w:val="67"/>
                      <w:tblCellSpacing w:w="0" w:type="dxa"/>
                      <w:jc w:val="center"/>
                    </w:trPr>
                    <w:tc>
                      <w:tcPr>
                        <w:tcW w:w="9000" w:type="dxa"/>
                        <w:tcMar>
                          <w:top w:w="150" w:type="dxa"/>
                          <w:left w:w="0" w:type="dxa"/>
                          <w:bottom w:w="0" w:type="dxa"/>
                          <w:right w:w="0" w:type="dxa"/>
                        </w:tcMar>
                        <w:vAlign w:val="center"/>
                        <w:hideMark/>
                      </w:tcPr>
                      <w:p w14:paraId="023D00B6" w14:textId="4DDF377D" w:rsidR="002031CF" w:rsidRDefault="002031CF" w:rsidP="002031CF">
                        <w:pPr>
                          <w:rPr>
                            <w:rFonts w:ascii="Arial" w:eastAsia="Times New Roman" w:hAnsi="Arial" w:cs="Arial"/>
                            <w:color w:val="FFFFFF"/>
                            <w:sz w:val="17"/>
                            <w:szCs w:val="17"/>
                          </w:rPr>
                        </w:pPr>
                      </w:p>
                    </w:tc>
                  </w:tr>
                </w:tbl>
                <w:p w14:paraId="32F708B9" w14:textId="77777777" w:rsidR="002031CF" w:rsidRDefault="002031CF">
                  <w:pPr>
                    <w:jc w:val="center"/>
                    <w:rPr>
                      <w:rFonts w:ascii="Times New Roman" w:eastAsia="Times New Roman" w:hAnsi="Times New Roman" w:cs="Times New Roman"/>
                      <w:sz w:val="20"/>
                      <w:szCs w:val="20"/>
                    </w:rPr>
                  </w:pPr>
                </w:p>
              </w:tc>
            </w:tr>
          </w:tbl>
          <w:p w14:paraId="576ABBD9" w14:textId="77777777" w:rsidR="002031CF" w:rsidRDefault="002031CF">
            <w:pPr>
              <w:jc w:val="center"/>
              <w:rPr>
                <w:rFonts w:ascii="Times New Roman" w:eastAsia="Times New Roman" w:hAnsi="Times New Roman" w:cs="Times New Roman"/>
                <w:sz w:val="20"/>
                <w:szCs w:val="20"/>
              </w:rPr>
            </w:pPr>
          </w:p>
        </w:tc>
      </w:tr>
    </w:tbl>
    <w:p w14:paraId="29B9996F" w14:textId="51BA1E19" w:rsidR="002031CF" w:rsidRDefault="002031CF" w:rsidP="002031CF">
      <w:pPr>
        <w:rPr>
          <w:rFonts w:eastAsia="Times New Roman"/>
        </w:rPr>
      </w:pPr>
      <w:r>
        <w:rPr>
          <w:rFonts w:eastAsia="Times New Roman"/>
          <w:noProof/>
        </w:rPr>
        <w:drawing>
          <wp:inline distT="0" distB="0" distL="0" distR="0" wp14:anchorId="72F07D14" wp14:editId="0DD57A1B">
            <wp:extent cx="13335" cy="13335"/>
            <wp:effectExtent l="0" t="0" r="0" b="0"/>
            <wp:docPr id="518373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p>
    <w:p w14:paraId="08C6EC71"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21C69"/>
    <w:multiLevelType w:val="multilevel"/>
    <w:tmpl w:val="22207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0418877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1CF"/>
    <w:rsid w:val="002031CF"/>
    <w:rsid w:val="005230F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A9C79"/>
  <w15:chartTrackingRefBased/>
  <w15:docId w15:val="{04529238-1431-4F13-9BFE-6E10121BE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1CF"/>
    <w:rPr>
      <w:rFonts w:ascii="Calibri" w:hAnsi="Calibri" w:cs="Calibri"/>
      <w:kern w:val="0"/>
      <w:lang w:eastAsia="en-GB"/>
      <w14:ligatures w14:val="none"/>
    </w:rPr>
  </w:style>
  <w:style w:type="paragraph" w:styleId="Heading1">
    <w:name w:val="heading 1"/>
    <w:basedOn w:val="Normal"/>
    <w:link w:val="Heading1Char"/>
    <w:uiPriority w:val="9"/>
    <w:qFormat/>
    <w:rsid w:val="002031CF"/>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2031CF"/>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2031CF"/>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2031CF"/>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1CF"/>
    <w:rPr>
      <w:rFonts w:ascii="Tahoma" w:hAnsi="Tahoma" w:cs="Tahoma"/>
      <w:b/>
      <w:bCs/>
      <w:color w:val="4E3487"/>
      <w:kern w:val="36"/>
      <w:sz w:val="54"/>
      <w:szCs w:val="54"/>
      <w:lang w:eastAsia="en-GB"/>
      <w14:ligatures w14:val="none"/>
    </w:rPr>
  </w:style>
  <w:style w:type="character" w:customStyle="1" w:styleId="Heading2Char">
    <w:name w:val="Heading 2 Char"/>
    <w:basedOn w:val="DefaultParagraphFont"/>
    <w:link w:val="Heading2"/>
    <w:uiPriority w:val="9"/>
    <w:semiHidden/>
    <w:rsid w:val="002031CF"/>
    <w:rPr>
      <w:rFonts w:ascii="Tahoma" w:hAnsi="Tahoma" w:cs="Tahoma"/>
      <w:b/>
      <w:bCs/>
      <w:color w:val="4E3487"/>
      <w:kern w:val="0"/>
      <w:sz w:val="30"/>
      <w:szCs w:val="30"/>
      <w:lang w:eastAsia="en-GB"/>
      <w14:ligatures w14:val="none"/>
    </w:rPr>
  </w:style>
  <w:style w:type="character" w:customStyle="1" w:styleId="Heading3Char">
    <w:name w:val="Heading 3 Char"/>
    <w:basedOn w:val="DefaultParagraphFont"/>
    <w:link w:val="Heading3"/>
    <w:uiPriority w:val="9"/>
    <w:semiHidden/>
    <w:rsid w:val="002031CF"/>
    <w:rPr>
      <w:rFonts w:ascii="Tahoma" w:hAnsi="Tahoma" w:cs="Tahoma"/>
      <w:b/>
      <w:bCs/>
      <w:color w:val="4E3487"/>
      <w:kern w:val="0"/>
      <w:sz w:val="27"/>
      <w:szCs w:val="27"/>
      <w:lang w:eastAsia="en-GB"/>
      <w14:ligatures w14:val="none"/>
    </w:rPr>
  </w:style>
  <w:style w:type="character" w:customStyle="1" w:styleId="Heading4Char">
    <w:name w:val="Heading 4 Char"/>
    <w:basedOn w:val="DefaultParagraphFont"/>
    <w:link w:val="Heading4"/>
    <w:uiPriority w:val="9"/>
    <w:semiHidden/>
    <w:rsid w:val="002031CF"/>
    <w:rPr>
      <w:rFonts w:ascii="Tahoma" w:hAnsi="Tahoma" w:cs="Tahoma"/>
      <w:b/>
      <w:bCs/>
      <w:color w:val="FFFFFF"/>
      <w:kern w:val="0"/>
      <w:sz w:val="18"/>
      <w:szCs w:val="18"/>
      <w:lang w:eastAsia="en-GB"/>
      <w14:ligatures w14:val="none"/>
    </w:rPr>
  </w:style>
  <w:style w:type="paragraph" w:styleId="NormalWeb">
    <w:name w:val="Normal (Web)"/>
    <w:basedOn w:val="Normal"/>
    <w:uiPriority w:val="99"/>
    <w:semiHidden/>
    <w:unhideWhenUsed/>
    <w:rsid w:val="002031CF"/>
    <w:pPr>
      <w:spacing w:before="100" w:beforeAutospacing="1" w:after="100" w:afterAutospacing="1"/>
    </w:pPr>
  </w:style>
  <w:style w:type="character" w:styleId="Strong">
    <w:name w:val="Strong"/>
    <w:basedOn w:val="DefaultParagraphFont"/>
    <w:uiPriority w:val="22"/>
    <w:qFormat/>
    <w:rsid w:val="002031CF"/>
    <w:rPr>
      <w:b/>
      <w:bCs/>
    </w:rPr>
  </w:style>
  <w:style w:type="character" w:styleId="Hyperlink">
    <w:name w:val="Hyperlink"/>
    <w:basedOn w:val="DefaultParagraphFont"/>
    <w:uiPriority w:val="99"/>
    <w:semiHidden/>
    <w:unhideWhenUsed/>
    <w:rsid w:val="002031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959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c5b8bfe901&amp;e=d19e9fd41c" TargetMode="External"/><Relationship Id="rId18" Type="http://schemas.openxmlformats.org/officeDocument/2006/relationships/image" Target="https://gallery.mailchimp.com/86d41ab7fa4c7c2c5d7210782/images/5acd9cf1-bdba-4039-b74f-638b444ff5d8.png" TargetMode="Externa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https://gallery.mailchimp.com/86d41ab7fa4c7c2c5d7210782/images/e1475f6b-1081-4509-ab25-9cd7f83d26b2.png" TargetMode="External"/><Relationship Id="rId7" Type="http://schemas.openxmlformats.org/officeDocument/2006/relationships/image" Target="media/image2.png"/><Relationship Id="rId12" Type="http://schemas.openxmlformats.org/officeDocument/2006/relationships/hyperlink" Target="https://psnc.us7.list-manage.com/track/click?u=86d41ab7fa4c7c2c5d7210782&amp;id=04d14e3e72&amp;e=d19e9fd41c" TargetMode="External"/><Relationship Id="rId17" Type="http://schemas.openxmlformats.org/officeDocument/2006/relationships/image" Target="media/image3.png"/><Relationship Id="rId25" Type="http://schemas.openxmlformats.org/officeDocument/2006/relationships/hyperlink" Target="https://psnc.us7.list-manage.com/track/click?u=86d41ab7fa4c7c2c5d7210782&amp;id=1e417cf2cb&amp;e=d19e9fd41c" TargetMode="External"/><Relationship Id="rId2" Type="http://schemas.openxmlformats.org/officeDocument/2006/relationships/styles" Target="styles.xml"/><Relationship Id="rId16" Type="http://schemas.openxmlformats.org/officeDocument/2006/relationships/hyperlink" Target="https://psnc.us7.list-manage.com/track/click?u=86d41ab7fa4c7c2c5d7210782&amp;id=2fe47b5193&amp;e=d19e9fd41c" TargetMode="External"/><Relationship Id="rId20" Type="http://schemas.openxmlformats.org/officeDocument/2006/relationships/image" Target="media/image4.png"/><Relationship Id="rId29" Type="http://schemas.openxmlformats.org/officeDocument/2006/relationships/image" Target="media/image7.gif"/><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a63f2b7b74&amp;e=d19e9fd41c" TargetMode="External"/><Relationship Id="rId24" Type="http://schemas.openxmlformats.org/officeDocument/2006/relationships/image" Target="https://gallery.mailchimp.com/86d41ab7fa4c7c2c5d7210782/images/cd088afd-0ac0-4498-8ed1-e4199bf882ce.png"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psnc.us7.list-manage.com/track/click?u=86d41ab7fa4c7c2c5d7210782&amp;id=29c8cfcbda&amp;e=d19e9fd41c" TargetMode="External"/><Relationship Id="rId23" Type="http://schemas.openxmlformats.org/officeDocument/2006/relationships/image" Target="media/image5.png"/><Relationship Id="rId28"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2d88cb0655&amp;e=d19e9fd41c" TargetMode="External"/><Relationship Id="rId19" Type="http://schemas.openxmlformats.org/officeDocument/2006/relationships/hyperlink" Target="https://psnc.us7.list-manage.com/track/click?u=86d41ab7fa4c7c2c5d7210782&amp;id=76ae6f67d0&amp;e=d19e9fd41c"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bbaf83a8e4&amp;e=d19e9fd41c" TargetMode="External"/><Relationship Id="rId14" Type="http://schemas.openxmlformats.org/officeDocument/2006/relationships/hyperlink" Target="https://psnc.us7.list-manage.com/track/click?u=86d41ab7fa4c7c2c5d7210782&amp;id=d911f0fdd9&amp;e=d19e9fd41c" TargetMode="External"/><Relationship Id="rId22" Type="http://schemas.openxmlformats.org/officeDocument/2006/relationships/hyperlink" Target="https://psnc.us7.list-manage.com/track/click?u=86d41ab7fa4c7c2c5d7210782&amp;id=8edabcf637&amp;e=d19e9fd41c" TargetMode="External"/><Relationship Id="rId27" Type="http://schemas.openxmlformats.org/officeDocument/2006/relationships/image" Target="https://gallery.mailchimp.com/86d41ab7fa4c7c2c5d7210782/images/f5c0845f-f39c-425d-8d3c-deff11493c50.png" TargetMode="External"/><Relationship Id="rId30" Type="http://schemas.openxmlformats.org/officeDocument/2006/relationships/image" Target="https://psnc.us7.list-manage.com/track/open.php?u=86d41ab7fa4c7c2c5d7210782&amp;id=34a6c9af0b&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481</Words>
  <Characters>2744</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2023-05-09T08:14:00Z</dcterms:created>
  <dcterms:modified xsi:type="dcterms:W3CDTF">2023-05-09T08:16:00Z</dcterms:modified>
</cp:coreProperties>
</file>