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9E36CD" w:rsidRPr="009E36CD" w14:paraId="00A4B127" w14:textId="77777777" w:rsidTr="009E36CD">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9E36CD" w:rsidRPr="009E36CD" w14:paraId="6F4274F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9E36CD" w:rsidRPr="009E36CD" w14:paraId="1F773FF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E36CD" w:rsidRPr="009E36CD" w14:paraId="61F78DC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E36CD" w:rsidRPr="009E36CD" w14:paraId="55DA715B" w14:textId="77777777">
                                <w:tc>
                                  <w:tcPr>
                                    <w:tcW w:w="9000" w:type="dxa"/>
                                    <w:hideMark/>
                                  </w:tcPr>
                                  <w:p w14:paraId="2C8DC565" w14:textId="77777777" w:rsidR="009E36CD" w:rsidRPr="009E36CD" w:rsidRDefault="009E36CD" w:rsidP="009E36CD"/>
                                </w:tc>
                              </w:tr>
                            </w:tbl>
                            <w:p w14:paraId="383B9CB5" w14:textId="77777777" w:rsidR="009E36CD" w:rsidRPr="009E36CD" w:rsidRDefault="009E36CD" w:rsidP="009E36CD"/>
                          </w:tc>
                        </w:tr>
                      </w:tbl>
                      <w:p w14:paraId="71067303" w14:textId="77777777" w:rsidR="009E36CD" w:rsidRPr="009E36CD" w:rsidRDefault="009E36CD" w:rsidP="009E36CD"/>
                    </w:tc>
                  </w:tr>
                  <w:tr w:rsidR="009E36CD" w:rsidRPr="009E36CD" w14:paraId="17D1EE84"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E36CD" w:rsidRPr="009E36CD" w14:paraId="000BCD1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9E36CD" w:rsidRPr="009E36CD" w14:paraId="25F130DF"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9E36CD" w:rsidRPr="009E36CD" w14:paraId="425A0052" w14:textId="77777777">
                                      <w:tc>
                                        <w:tcPr>
                                          <w:tcW w:w="0" w:type="auto"/>
                                          <w:hideMark/>
                                        </w:tcPr>
                                        <w:p w14:paraId="3CDE972A" w14:textId="7B2A8766" w:rsidR="009E36CD" w:rsidRPr="009E36CD" w:rsidRDefault="009E36CD" w:rsidP="009E36CD">
                                          <w:r w:rsidRPr="009E36CD">
                                            <w:drawing>
                                              <wp:inline distT="0" distB="0" distL="0" distR="0" wp14:anchorId="39E29373" wp14:editId="228C4B1E">
                                                <wp:extent cx="2514600" cy="809625"/>
                                                <wp:effectExtent l="0" t="0" r="0" b="9525"/>
                                                <wp:docPr id="168926564" name="Picture 2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9E36CD" w:rsidRPr="009E36CD" w14:paraId="3C82B4B2" w14:textId="77777777">
                                      <w:tc>
                                        <w:tcPr>
                                          <w:tcW w:w="0" w:type="auto"/>
                                          <w:hideMark/>
                                        </w:tcPr>
                                        <w:p w14:paraId="11CB305E" w14:textId="77777777" w:rsidR="009E36CD" w:rsidRPr="009E36CD" w:rsidRDefault="009E36CD" w:rsidP="009E36CD">
                                          <w:pPr>
                                            <w:jc w:val="right"/>
                                            <w:rPr>
                                              <w:b/>
                                              <w:bCs/>
                                              <w:sz w:val="40"/>
                                              <w:szCs w:val="40"/>
                                            </w:rPr>
                                          </w:pPr>
                                          <w:r w:rsidRPr="009E36CD">
                                            <w:rPr>
                                              <w:b/>
                                              <w:bCs/>
                                              <w:sz w:val="40"/>
                                              <w:szCs w:val="40"/>
                                            </w:rPr>
                                            <w:t>Newsletter</w:t>
                                          </w:r>
                                        </w:p>
                                        <w:p w14:paraId="3B0B532D" w14:textId="77777777" w:rsidR="009E36CD" w:rsidRPr="009E36CD" w:rsidRDefault="009E36CD" w:rsidP="009E36CD">
                                          <w:pPr>
                                            <w:jc w:val="right"/>
                                          </w:pPr>
                                          <w:r w:rsidRPr="009E36CD">
                                            <w:rPr>
                                              <w:sz w:val="40"/>
                                              <w:szCs w:val="40"/>
                                            </w:rPr>
                                            <w:t>5th August 2024</w:t>
                                          </w:r>
                                        </w:p>
                                      </w:tc>
                                    </w:tr>
                                  </w:tbl>
                                  <w:p w14:paraId="7D5AF836" w14:textId="77777777" w:rsidR="009E36CD" w:rsidRPr="009E36CD" w:rsidRDefault="009E36CD" w:rsidP="009E36CD"/>
                                </w:tc>
                              </w:tr>
                            </w:tbl>
                            <w:p w14:paraId="30EC9B3A" w14:textId="77777777" w:rsidR="009E36CD" w:rsidRPr="009E36CD" w:rsidRDefault="009E36CD" w:rsidP="009E36CD"/>
                          </w:tc>
                        </w:tr>
                      </w:tbl>
                      <w:p w14:paraId="5FC8076E" w14:textId="77777777" w:rsidR="009E36CD" w:rsidRPr="009E36CD" w:rsidRDefault="009E36CD" w:rsidP="009E36CD"/>
                    </w:tc>
                  </w:tr>
                  <w:tr w:rsidR="009E36CD" w:rsidRPr="009E36CD" w14:paraId="57F2C41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E36CD" w:rsidRPr="009E36CD" w14:paraId="51800A3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E36CD" w:rsidRPr="009E36CD" w14:paraId="0CE9414A" w14:textId="77777777">
                                <w:tc>
                                  <w:tcPr>
                                    <w:tcW w:w="0" w:type="auto"/>
                                    <w:tcMar>
                                      <w:top w:w="0" w:type="dxa"/>
                                      <w:left w:w="135" w:type="dxa"/>
                                      <w:bottom w:w="0" w:type="dxa"/>
                                      <w:right w:w="135" w:type="dxa"/>
                                    </w:tcMar>
                                    <w:hideMark/>
                                  </w:tcPr>
                                  <w:p w14:paraId="6BB8001D" w14:textId="074574C0" w:rsidR="009E36CD" w:rsidRPr="009E36CD" w:rsidRDefault="009E36CD" w:rsidP="009E36CD">
                                    <w:r w:rsidRPr="009E36CD">
                                      <w:drawing>
                                        <wp:inline distT="0" distB="0" distL="0" distR="0" wp14:anchorId="443F6457" wp14:editId="577A3B65">
                                          <wp:extent cx="5372100" cy="333375"/>
                                          <wp:effectExtent l="0" t="0" r="0" b="9525"/>
                                          <wp:docPr id="986110332"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B7A64F5" w14:textId="77777777" w:rsidR="009E36CD" w:rsidRPr="009E36CD" w:rsidRDefault="009E36CD" w:rsidP="009E36CD"/>
                          </w:tc>
                        </w:tr>
                        <w:tr w:rsidR="009E36CD" w:rsidRPr="009E36CD" w14:paraId="4AC42C1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E36CD" w:rsidRPr="009E36CD" w14:paraId="4C378A0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E36CD" w:rsidRPr="009E36CD" w14:paraId="60CA9CC7" w14:textId="77777777">
                                      <w:tc>
                                        <w:tcPr>
                                          <w:tcW w:w="0" w:type="auto"/>
                                          <w:tcMar>
                                            <w:top w:w="0" w:type="dxa"/>
                                            <w:left w:w="270" w:type="dxa"/>
                                            <w:bottom w:w="135" w:type="dxa"/>
                                            <w:right w:w="270" w:type="dxa"/>
                                          </w:tcMar>
                                          <w:hideMark/>
                                        </w:tcPr>
                                        <w:p w14:paraId="27A0D9A7" w14:textId="77777777" w:rsidR="009E36CD" w:rsidRPr="009E36CD" w:rsidRDefault="009E36CD" w:rsidP="009E36CD">
                                          <w:r w:rsidRPr="009E36CD">
                                            <w:rPr>
                                              <w:b/>
                                              <w:bCs/>
                                            </w:rPr>
                                            <w:t>This newsletter - sent on Mondays, Wednesdays and Fridays - contains important information and resources to support community pharmacies across England.</w:t>
                                          </w:r>
                                        </w:p>
                                      </w:tc>
                                    </w:tr>
                                  </w:tbl>
                                  <w:p w14:paraId="57ED7893" w14:textId="77777777" w:rsidR="009E36CD" w:rsidRPr="009E36CD" w:rsidRDefault="009E36CD" w:rsidP="009E36CD"/>
                                </w:tc>
                              </w:tr>
                            </w:tbl>
                            <w:p w14:paraId="09B6F43B" w14:textId="77777777" w:rsidR="009E36CD" w:rsidRPr="009E36CD" w:rsidRDefault="009E36CD" w:rsidP="009E36CD"/>
                          </w:tc>
                        </w:tr>
                        <w:tr w:rsidR="009E36CD" w:rsidRPr="009E36CD" w14:paraId="739E904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E36CD" w:rsidRPr="009E36CD" w14:paraId="295F4673" w14:textId="77777777">
                                <w:tc>
                                  <w:tcPr>
                                    <w:tcW w:w="0" w:type="auto"/>
                                    <w:tcBorders>
                                      <w:top w:val="single" w:sz="12" w:space="0" w:color="106B62"/>
                                      <w:left w:val="nil"/>
                                      <w:bottom w:val="nil"/>
                                      <w:right w:val="nil"/>
                                    </w:tcBorders>
                                    <w:vAlign w:val="center"/>
                                    <w:hideMark/>
                                  </w:tcPr>
                                  <w:p w14:paraId="0EE2AEF9" w14:textId="77777777" w:rsidR="009E36CD" w:rsidRPr="009E36CD" w:rsidRDefault="009E36CD" w:rsidP="009E36CD"/>
                                </w:tc>
                              </w:tr>
                            </w:tbl>
                            <w:p w14:paraId="471E61E6" w14:textId="77777777" w:rsidR="009E36CD" w:rsidRPr="009E36CD" w:rsidRDefault="009E36CD" w:rsidP="009E36CD"/>
                          </w:tc>
                        </w:tr>
                        <w:tr w:rsidR="009E36CD" w:rsidRPr="009E36CD" w14:paraId="40512CA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E36CD" w:rsidRPr="009E36CD" w14:paraId="5AA6CD5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E36CD" w:rsidRPr="009E36CD" w14:paraId="633AA083" w14:textId="77777777">
                                      <w:tc>
                                        <w:tcPr>
                                          <w:tcW w:w="0" w:type="auto"/>
                                          <w:tcMar>
                                            <w:top w:w="0" w:type="dxa"/>
                                            <w:left w:w="270" w:type="dxa"/>
                                            <w:bottom w:w="135" w:type="dxa"/>
                                            <w:right w:w="270" w:type="dxa"/>
                                          </w:tcMar>
                                          <w:hideMark/>
                                        </w:tcPr>
                                        <w:p w14:paraId="27AE4285" w14:textId="77777777" w:rsidR="009E36CD" w:rsidRPr="009E36CD" w:rsidRDefault="009E36CD" w:rsidP="009E36CD">
                                          <w:pPr>
                                            <w:rPr>
                                              <w:b/>
                                              <w:bCs/>
                                            </w:rPr>
                                          </w:pPr>
                                          <w:r w:rsidRPr="009E36CD">
                                            <w:rPr>
                                              <w:b/>
                                              <w:bCs/>
                                            </w:rPr>
                                            <w:t xml:space="preserve">In this update: Further light shone on impact of pharmacy pressures; Products added to DND list; CPPE ACPT programme update; </w:t>
                                          </w:r>
                                          <w:proofErr w:type="spellStart"/>
                                          <w:r w:rsidRPr="009E36CD">
                                            <w:rPr>
                                              <w:b/>
                                              <w:bCs/>
                                            </w:rPr>
                                            <w:t>Lagevrio</w:t>
                                          </w:r>
                                          <w:proofErr w:type="spellEnd"/>
                                          <w:r w:rsidRPr="009E36CD">
                                            <w:rPr>
                                              <w:b/>
                                              <w:bCs/>
                                            </w:rPr>
                                            <w:t>® shelf-life extension.</w:t>
                                          </w:r>
                                        </w:p>
                                      </w:tc>
                                    </w:tr>
                                  </w:tbl>
                                  <w:p w14:paraId="5B2CA445" w14:textId="77777777" w:rsidR="009E36CD" w:rsidRPr="009E36CD" w:rsidRDefault="009E36CD" w:rsidP="009E36CD"/>
                                </w:tc>
                              </w:tr>
                            </w:tbl>
                            <w:p w14:paraId="4C219B57" w14:textId="77777777" w:rsidR="009E36CD" w:rsidRPr="009E36CD" w:rsidRDefault="009E36CD" w:rsidP="009E36CD"/>
                          </w:tc>
                        </w:tr>
                        <w:tr w:rsidR="009E36CD" w:rsidRPr="009E36CD" w14:paraId="7E5020B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E36CD" w:rsidRPr="009E36CD" w14:paraId="752E2836" w14:textId="77777777">
                                <w:tc>
                                  <w:tcPr>
                                    <w:tcW w:w="0" w:type="auto"/>
                                    <w:tcBorders>
                                      <w:top w:val="single" w:sz="12" w:space="0" w:color="106B62"/>
                                      <w:left w:val="nil"/>
                                      <w:bottom w:val="nil"/>
                                      <w:right w:val="nil"/>
                                    </w:tcBorders>
                                    <w:vAlign w:val="center"/>
                                    <w:hideMark/>
                                  </w:tcPr>
                                  <w:p w14:paraId="79B378CC" w14:textId="77777777" w:rsidR="009E36CD" w:rsidRPr="009E36CD" w:rsidRDefault="009E36CD" w:rsidP="009E36CD"/>
                                </w:tc>
                              </w:tr>
                            </w:tbl>
                            <w:p w14:paraId="06C9946F" w14:textId="77777777" w:rsidR="009E36CD" w:rsidRPr="009E36CD" w:rsidRDefault="009E36CD" w:rsidP="009E36CD"/>
                          </w:tc>
                        </w:tr>
                        <w:tr w:rsidR="009E36CD" w:rsidRPr="009E36CD" w14:paraId="42250FA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E36CD" w:rsidRPr="009E36CD" w14:paraId="714F76FF" w14:textId="77777777">
                                <w:tc>
                                  <w:tcPr>
                                    <w:tcW w:w="0" w:type="auto"/>
                                    <w:tcMar>
                                      <w:top w:w="0" w:type="dxa"/>
                                      <w:left w:w="135" w:type="dxa"/>
                                      <w:bottom w:w="0" w:type="dxa"/>
                                      <w:right w:w="135" w:type="dxa"/>
                                    </w:tcMar>
                                    <w:hideMark/>
                                  </w:tcPr>
                                  <w:p w14:paraId="080635ED" w14:textId="10D89EEA" w:rsidR="009E36CD" w:rsidRPr="009E36CD" w:rsidRDefault="009E36CD" w:rsidP="009E36CD">
                                    <w:r w:rsidRPr="009E36CD">
                                      <w:drawing>
                                        <wp:inline distT="0" distB="0" distL="0" distR="0" wp14:anchorId="4EF934F9" wp14:editId="074DA9AB">
                                          <wp:extent cx="5372100" cy="1790700"/>
                                          <wp:effectExtent l="0" t="0" r="0" b="0"/>
                                          <wp:docPr id="304652983" name="Picture 18">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09513CB" w14:textId="77777777" w:rsidR="009E36CD" w:rsidRPr="009E36CD" w:rsidRDefault="009E36CD" w:rsidP="009E36CD"/>
                          </w:tc>
                        </w:tr>
                        <w:tr w:rsidR="009E36CD" w:rsidRPr="009E36CD" w14:paraId="5162CD4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E36CD" w:rsidRPr="009E36CD" w14:paraId="2047821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E36CD" w:rsidRPr="009E36CD" w14:paraId="7A4D5C42" w14:textId="77777777">
                                      <w:tc>
                                        <w:tcPr>
                                          <w:tcW w:w="0" w:type="auto"/>
                                          <w:tcMar>
                                            <w:top w:w="0" w:type="dxa"/>
                                            <w:left w:w="270" w:type="dxa"/>
                                            <w:bottom w:w="135" w:type="dxa"/>
                                            <w:right w:w="270" w:type="dxa"/>
                                          </w:tcMar>
                                          <w:hideMark/>
                                        </w:tcPr>
                                        <w:p w14:paraId="22ADA2DA" w14:textId="77777777" w:rsidR="009E36CD" w:rsidRPr="009E36CD" w:rsidRDefault="009E36CD" w:rsidP="009E36CD">
                                          <w:r w:rsidRPr="009E36CD">
                                            <w:t>Community pharmacies are being forced to stop offering some NHS and public health services as financial and operational pressures on them intensify, polling by Community Pharmacy England has revealed.</w:t>
                                          </w:r>
                                          <w:r w:rsidRPr="009E36CD">
                                            <w:br/>
                                            <w:t> </w:t>
                                          </w:r>
                                          <w:r w:rsidRPr="009E36CD">
                                            <w:br/>
                                            <w:t>Key statistics from the poll indicate that a vast majority of pharmacy owners have ceased locally commissioned services, reduced opening hours, and stopped employing locum pharmacists.</w:t>
                                          </w:r>
                                          <w:r w:rsidRPr="009E36CD">
                                            <w:br/>
                                            <w:t> </w:t>
                                          </w:r>
                                          <w:r w:rsidRPr="009E36CD">
                                            <w:br/>
                                            <w:t xml:space="preserve">Just days after GP practices began limiting appointments, we used the results of our polling of pharmacy owners to secure coverage in today's edition of </w:t>
                                          </w:r>
                                          <w:hyperlink r:id="rId12" w:tgtFrame="_blank" w:history="1">
                                            <w:r w:rsidRPr="009E36CD">
                                              <w:rPr>
                                                <w:rStyle w:val="Hyperlink"/>
                                              </w:rPr>
                                              <w:t>The Guardian</w:t>
                                            </w:r>
                                          </w:hyperlink>
                                          <w:r w:rsidRPr="009E36CD">
                                            <w:t xml:space="preserve"> about the plight of community pharmacies and how the GP action would only exacerbate the situation.</w:t>
                                          </w:r>
                                          <w:r w:rsidRPr="009E36CD">
                                            <w:br/>
                                          </w:r>
                                          <w:r w:rsidRPr="009E36CD">
                                            <w:br/>
                                          </w:r>
                                          <w:r w:rsidRPr="009E36CD">
                                            <w:rPr>
                                              <w:b/>
                                              <w:bCs/>
                                            </w:rPr>
                                            <w:t>Community Pharmacy England CEO Janet Morrison said:</w:t>
                                          </w:r>
                                        </w:p>
                                      </w:tc>
                                    </w:tr>
                                  </w:tbl>
                                  <w:p w14:paraId="04D952BB" w14:textId="77777777" w:rsidR="009E36CD" w:rsidRPr="009E36CD" w:rsidRDefault="009E36CD" w:rsidP="009E36CD"/>
                                </w:tc>
                              </w:tr>
                            </w:tbl>
                            <w:p w14:paraId="72556724" w14:textId="77777777" w:rsidR="009E36CD" w:rsidRPr="009E36CD" w:rsidRDefault="009E36CD" w:rsidP="009E36CD"/>
                          </w:tc>
                        </w:tr>
                      </w:tbl>
                      <w:p w14:paraId="566A3113" w14:textId="77777777" w:rsidR="009E36CD" w:rsidRPr="009E36CD" w:rsidRDefault="009E36CD" w:rsidP="009E36CD"/>
                      <w:tbl>
                        <w:tblPr>
                          <w:tblW w:w="5000" w:type="pct"/>
                          <w:tblCellMar>
                            <w:left w:w="0" w:type="dxa"/>
                            <w:right w:w="0" w:type="dxa"/>
                          </w:tblCellMar>
                          <w:tblLook w:val="04A0" w:firstRow="1" w:lastRow="0" w:firstColumn="1" w:lastColumn="0" w:noHBand="0" w:noVBand="1"/>
                        </w:tblPr>
                        <w:tblGrid>
                          <w:gridCol w:w="8726"/>
                        </w:tblGrid>
                        <w:tr w:rsidR="009E36CD" w:rsidRPr="009E36CD" w14:paraId="56620AC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E36CD" w:rsidRPr="009E36CD" w14:paraId="15856ECA" w14:textId="77777777">
                                <w:tc>
                                  <w:tcPr>
                                    <w:tcW w:w="0" w:type="auto"/>
                                    <w:tcMar>
                                      <w:top w:w="0" w:type="dxa"/>
                                      <w:left w:w="135" w:type="dxa"/>
                                      <w:bottom w:w="0" w:type="dxa"/>
                                      <w:right w:w="135" w:type="dxa"/>
                                    </w:tcMar>
                                    <w:hideMark/>
                                  </w:tcPr>
                                  <w:p w14:paraId="42E991A6" w14:textId="03DA9B1A" w:rsidR="009E36CD" w:rsidRPr="009E36CD" w:rsidRDefault="009E36CD" w:rsidP="009E36CD">
                                    <w:r w:rsidRPr="009E36CD">
                                      <w:lastRenderedPageBreak/>
                                      <w:drawing>
                                        <wp:inline distT="0" distB="0" distL="0" distR="0" wp14:anchorId="4972065A" wp14:editId="1A8BFBF5">
                                          <wp:extent cx="5372100" cy="3019425"/>
                                          <wp:effectExtent l="0" t="0" r="0" b="9525"/>
                                          <wp:docPr id="1432256807" name="Picture 17">
                                            <a:hlinkClick xmlns:a="http://schemas.openxmlformats.org/drawingml/2006/main" r:id="rId1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14:paraId="3AF7FAEC" w14:textId="77777777" w:rsidR="009E36CD" w:rsidRPr="009E36CD" w:rsidRDefault="009E36CD" w:rsidP="009E36CD"/>
                          </w:tc>
                        </w:tr>
                        <w:tr w:rsidR="009E36CD" w:rsidRPr="009E36CD" w14:paraId="3074F499"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316"/>
                              </w:tblGrid>
                              <w:tr w:rsidR="009E36CD" w:rsidRPr="009E36CD" w14:paraId="1A8046B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1F3368A" w14:textId="77777777" w:rsidR="009E36CD" w:rsidRPr="009E36CD" w:rsidRDefault="009E36CD" w:rsidP="009E36CD">
                                    <w:hyperlink r:id="rId16" w:tgtFrame="_blank" w:tooltip="Read our news story" w:history="1">
                                      <w:r w:rsidRPr="009E36CD">
                                        <w:rPr>
                                          <w:rStyle w:val="Hyperlink"/>
                                          <w:b/>
                                          <w:bCs/>
                                        </w:rPr>
                                        <w:t>Read our news story</w:t>
                                      </w:r>
                                    </w:hyperlink>
                                    <w:r w:rsidRPr="009E36CD">
                                      <w:t xml:space="preserve"> </w:t>
                                    </w:r>
                                  </w:p>
                                </w:tc>
                              </w:tr>
                            </w:tbl>
                            <w:p w14:paraId="4625BA9D" w14:textId="77777777" w:rsidR="009E36CD" w:rsidRPr="009E36CD" w:rsidRDefault="009E36CD" w:rsidP="009E36CD"/>
                          </w:tc>
                        </w:tr>
                        <w:tr w:rsidR="009E36CD" w:rsidRPr="009E36CD" w14:paraId="116D513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939"/>
                              </w:tblGrid>
                              <w:tr w:rsidR="009E36CD" w:rsidRPr="009E36CD" w14:paraId="20B02EA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66A223C" w14:textId="77777777" w:rsidR="009E36CD" w:rsidRPr="009E36CD" w:rsidRDefault="009E36CD" w:rsidP="009E36CD">
                                    <w:hyperlink r:id="rId17" w:tgtFrame="_blank" w:tooltip="Read our media statement" w:history="1">
                                      <w:r w:rsidRPr="009E36CD">
                                        <w:rPr>
                                          <w:rStyle w:val="Hyperlink"/>
                                          <w:b/>
                                          <w:bCs/>
                                        </w:rPr>
                                        <w:t>Read our media statement</w:t>
                                      </w:r>
                                    </w:hyperlink>
                                    <w:r w:rsidRPr="009E36CD">
                                      <w:t xml:space="preserve"> </w:t>
                                    </w:r>
                                  </w:p>
                                </w:tc>
                              </w:tr>
                            </w:tbl>
                            <w:p w14:paraId="21FA1110" w14:textId="77777777" w:rsidR="009E36CD" w:rsidRPr="009E36CD" w:rsidRDefault="009E36CD" w:rsidP="009E36CD"/>
                          </w:tc>
                        </w:tr>
                        <w:tr w:rsidR="009E36CD" w:rsidRPr="009E36CD" w14:paraId="19C8479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E36CD" w:rsidRPr="009E36CD" w14:paraId="54BD28A6" w14:textId="77777777">
                                <w:tc>
                                  <w:tcPr>
                                    <w:tcW w:w="0" w:type="auto"/>
                                    <w:tcBorders>
                                      <w:top w:val="single" w:sz="12" w:space="0" w:color="106B62"/>
                                      <w:left w:val="nil"/>
                                      <w:bottom w:val="nil"/>
                                      <w:right w:val="nil"/>
                                    </w:tcBorders>
                                    <w:vAlign w:val="center"/>
                                    <w:hideMark/>
                                  </w:tcPr>
                                  <w:p w14:paraId="78E3C302" w14:textId="77777777" w:rsidR="009E36CD" w:rsidRPr="009E36CD" w:rsidRDefault="009E36CD" w:rsidP="009E36CD"/>
                                </w:tc>
                              </w:tr>
                            </w:tbl>
                            <w:p w14:paraId="77CD4B22" w14:textId="77777777" w:rsidR="009E36CD" w:rsidRPr="009E36CD" w:rsidRDefault="009E36CD" w:rsidP="009E36CD"/>
                          </w:tc>
                        </w:tr>
                        <w:tr w:rsidR="009E36CD" w:rsidRPr="009E36CD" w14:paraId="1F600F5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E36CD" w:rsidRPr="009E36CD" w14:paraId="5182CDB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E36CD" w:rsidRPr="009E36CD" w14:paraId="3CD14F22" w14:textId="77777777">
                                      <w:tc>
                                        <w:tcPr>
                                          <w:tcW w:w="0" w:type="auto"/>
                                          <w:tcMar>
                                            <w:top w:w="0" w:type="dxa"/>
                                            <w:left w:w="270" w:type="dxa"/>
                                            <w:bottom w:w="135" w:type="dxa"/>
                                            <w:right w:w="270" w:type="dxa"/>
                                          </w:tcMar>
                                          <w:hideMark/>
                                        </w:tcPr>
                                        <w:p w14:paraId="5526C665" w14:textId="77777777" w:rsidR="009E36CD" w:rsidRPr="009E36CD" w:rsidRDefault="009E36CD" w:rsidP="009E36CD">
                                          <w:pPr>
                                            <w:rPr>
                                              <w:b/>
                                              <w:bCs/>
                                            </w:rPr>
                                          </w:pPr>
                                          <w:r w:rsidRPr="009E36CD">
                                            <w:rPr>
                                              <w:b/>
                                              <w:bCs/>
                                            </w:rPr>
                                            <w:t>Eight products added to the DND list from August 2024</w:t>
                                          </w:r>
                                        </w:p>
                                        <w:p w14:paraId="4B95F9F7" w14:textId="77777777" w:rsidR="009E36CD" w:rsidRPr="009E36CD" w:rsidRDefault="009E36CD" w:rsidP="009E36CD">
                                          <w:r w:rsidRPr="009E36CD">
                                            <w:t>We successfully applied for 8 new products to be added to the list of 'Drugs for which Discount is Not Deducted' (DND) from 1st August 2024. This takes the total number of products granted DND status following our checks to 640 in the past three years. Our Dispensing and Supply Team will continue this important work to ensure fair reimbursement for pharmacy owners.</w:t>
                                          </w:r>
                                        </w:p>
                                        <w:p w14:paraId="53A35A70" w14:textId="77777777" w:rsidR="009E36CD" w:rsidRPr="009E36CD" w:rsidRDefault="009E36CD" w:rsidP="009E36CD">
                                          <w:hyperlink r:id="rId18" w:tgtFrame="_blank" w:history="1">
                                            <w:r w:rsidRPr="009E36CD">
                                              <w:rPr>
                                                <w:rStyle w:val="Hyperlink"/>
                                              </w:rPr>
                                              <w:t>See the new additions to the DND list</w:t>
                                            </w:r>
                                          </w:hyperlink>
                                          <w:r w:rsidRPr="009E36CD">
                                            <w:t xml:space="preserve"> </w:t>
                                          </w:r>
                                        </w:p>
                                      </w:tc>
                                    </w:tr>
                                  </w:tbl>
                                  <w:p w14:paraId="44D59A07" w14:textId="77777777" w:rsidR="009E36CD" w:rsidRPr="009E36CD" w:rsidRDefault="009E36CD" w:rsidP="009E36CD"/>
                                </w:tc>
                              </w:tr>
                            </w:tbl>
                            <w:p w14:paraId="221BCBA4" w14:textId="77777777" w:rsidR="009E36CD" w:rsidRPr="009E36CD" w:rsidRDefault="009E36CD" w:rsidP="009E36CD"/>
                          </w:tc>
                        </w:tr>
                        <w:tr w:rsidR="009E36CD" w:rsidRPr="009E36CD" w14:paraId="2AC0405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E36CD" w:rsidRPr="009E36CD" w14:paraId="36492304" w14:textId="77777777">
                                <w:tc>
                                  <w:tcPr>
                                    <w:tcW w:w="0" w:type="auto"/>
                                    <w:tcBorders>
                                      <w:top w:val="single" w:sz="12" w:space="0" w:color="106B62"/>
                                      <w:left w:val="nil"/>
                                      <w:bottom w:val="nil"/>
                                      <w:right w:val="nil"/>
                                    </w:tcBorders>
                                    <w:vAlign w:val="center"/>
                                    <w:hideMark/>
                                  </w:tcPr>
                                  <w:p w14:paraId="113EEE50" w14:textId="77777777" w:rsidR="009E36CD" w:rsidRPr="009E36CD" w:rsidRDefault="009E36CD" w:rsidP="009E36CD"/>
                                </w:tc>
                              </w:tr>
                            </w:tbl>
                            <w:p w14:paraId="2ED133E2" w14:textId="77777777" w:rsidR="009E36CD" w:rsidRPr="009E36CD" w:rsidRDefault="009E36CD" w:rsidP="009E36CD"/>
                          </w:tc>
                        </w:tr>
                        <w:tr w:rsidR="009E36CD" w:rsidRPr="009E36CD" w14:paraId="65BBC03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E36CD" w:rsidRPr="009E36CD" w14:paraId="6D7C40B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E36CD" w:rsidRPr="009E36CD" w14:paraId="4D2AA476" w14:textId="77777777">
                                      <w:tc>
                                        <w:tcPr>
                                          <w:tcW w:w="0" w:type="auto"/>
                                          <w:tcMar>
                                            <w:top w:w="0" w:type="dxa"/>
                                            <w:left w:w="270" w:type="dxa"/>
                                            <w:bottom w:w="135" w:type="dxa"/>
                                            <w:right w:w="270" w:type="dxa"/>
                                          </w:tcMar>
                                          <w:hideMark/>
                                        </w:tcPr>
                                        <w:p w14:paraId="2F46C105" w14:textId="77777777" w:rsidR="009E36CD" w:rsidRPr="009E36CD" w:rsidRDefault="009E36CD" w:rsidP="009E36CD">
                                          <w:pPr>
                                            <w:rPr>
                                              <w:b/>
                                              <w:bCs/>
                                            </w:rPr>
                                          </w:pPr>
                                          <w:r w:rsidRPr="009E36CD">
                                            <w:rPr>
                                              <w:b/>
                                              <w:bCs/>
                                            </w:rPr>
                                            <w:t>CPPE ACPT programme – free NHS funded places available</w:t>
                                          </w:r>
                                        </w:p>
                                        <w:p w14:paraId="4867B229" w14:textId="77777777" w:rsidR="009E36CD" w:rsidRPr="009E36CD" w:rsidRDefault="009E36CD" w:rsidP="009E36CD">
                                          <w:r w:rsidRPr="009E36CD">
                                            <w:t>The Accuracy Checking Pharmacy Technician (ACPT) programme is being extended, offering additional training for pharmacy technicians. Participants will be trained to perform the final accuracy check of dispensed prescriptions that have already been clinically reviewed by a pharmacist.</w:t>
                                          </w:r>
                                          <w:r w:rsidRPr="009E36CD">
                                            <w:br/>
                                          </w:r>
                                          <w:r w:rsidRPr="009E36CD">
                                            <w:br/>
                                            <w:t>A total of 80 NHS England funded places are now available from the Centre for Pharmacy Postgraduate Education (CPPE), with up to 10 places allocated each month until the funding concludes or by March 2025.</w:t>
                                          </w:r>
                                          <w:r w:rsidRPr="009E36CD">
                                            <w:br/>
                                          </w:r>
                                          <w:r w:rsidRPr="009E36CD">
                                            <w:br/>
                                          </w:r>
                                          <w:hyperlink r:id="rId19" w:tgtFrame="_blank" w:history="1">
                                            <w:r w:rsidRPr="009E36CD">
                                              <w:rPr>
                                                <w:rStyle w:val="Hyperlink"/>
                                              </w:rPr>
                                              <w:t>Learn more</w:t>
                                            </w:r>
                                          </w:hyperlink>
                                        </w:p>
                                      </w:tc>
                                    </w:tr>
                                  </w:tbl>
                                  <w:p w14:paraId="77F42D56" w14:textId="77777777" w:rsidR="009E36CD" w:rsidRPr="009E36CD" w:rsidRDefault="009E36CD" w:rsidP="009E36CD"/>
                                </w:tc>
                              </w:tr>
                            </w:tbl>
                            <w:p w14:paraId="52CB8BB7" w14:textId="77777777" w:rsidR="009E36CD" w:rsidRPr="009E36CD" w:rsidRDefault="009E36CD" w:rsidP="009E36CD"/>
                          </w:tc>
                        </w:tr>
                        <w:tr w:rsidR="009E36CD" w:rsidRPr="009E36CD" w14:paraId="13F27E2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E36CD" w:rsidRPr="009E36CD" w14:paraId="1F50D87E" w14:textId="77777777">
                                <w:tc>
                                  <w:tcPr>
                                    <w:tcW w:w="0" w:type="auto"/>
                                    <w:tcBorders>
                                      <w:top w:val="single" w:sz="12" w:space="0" w:color="106B62"/>
                                      <w:left w:val="nil"/>
                                      <w:bottom w:val="nil"/>
                                      <w:right w:val="nil"/>
                                    </w:tcBorders>
                                    <w:vAlign w:val="center"/>
                                    <w:hideMark/>
                                  </w:tcPr>
                                  <w:p w14:paraId="5E69E3B1" w14:textId="77777777" w:rsidR="009E36CD" w:rsidRPr="009E36CD" w:rsidRDefault="009E36CD" w:rsidP="009E36CD"/>
                                </w:tc>
                              </w:tr>
                            </w:tbl>
                            <w:p w14:paraId="7B8E0F6B" w14:textId="77777777" w:rsidR="009E36CD" w:rsidRPr="009E36CD" w:rsidRDefault="009E36CD" w:rsidP="009E36CD"/>
                          </w:tc>
                        </w:tr>
                        <w:tr w:rsidR="009E36CD" w:rsidRPr="009E36CD" w14:paraId="770EBAA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E36CD" w:rsidRPr="009E36CD" w14:paraId="7BDADD5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E36CD" w:rsidRPr="009E36CD" w14:paraId="09FB1DBF" w14:textId="77777777">
                                      <w:tc>
                                        <w:tcPr>
                                          <w:tcW w:w="0" w:type="auto"/>
                                          <w:tcMar>
                                            <w:top w:w="0" w:type="dxa"/>
                                            <w:left w:w="270" w:type="dxa"/>
                                            <w:bottom w:w="135" w:type="dxa"/>
                                            <w:right w:w="270" w:type="dxa"/>
                                          </w:tcMar>
                                          <w:hideMark/>
                                        </w:tcPr>
                                        <w:p w14:paraId="05B5739B" w14:textId="77777777" w:rsidR="009E36CD" w:rsidRPr="009E36CD" w:rsidRDefault="009E36CD" w:rsidP="009E36CD">
                                          <w:pPr>
                                            <w:rPr>
                                              <w:b/>
                                              <w:bCs/>
                                            </w:rPr>
                                          </w:pPr>
                                          <w:proofErr w:type="spellStart"/>
                                          <w:r w:rsidRPr="009E36CD">
                                            <w:rPr>
                                              <w:b/>
                                              <w:bCs/>
                                            </w:rPr>
                                            <w:t>Lagevrio</w:t>
                                          </w:r>
                                          <w:proofErr w:type="spellEnd"/>
                                          <w:r w:rsidRPr="009E36CD">
                                            <w:rPr>
                                              <w:b/>
                                              <w:bCs/>
                                            </w:rPr>
                                            <w:t>® (</w:t>
                                          </w:r>
                                          <w:proofErr w:type="spellStart"/>
                                          <w:r w:rsidRPr="009E36CD">
                                            <w:rPr>
                                              <w:b/>
                                              <w:bCs/>
                                            </w:rPr>
                                            <w:t>molnupiravir</w:t>
                                          </w:r>
                                          <w:proofErr w:type="spellEnd"/>
                                          <w:r w:rsidRPr="009E36CD">
                                            <w:rPr>
                                              <w:b/>
                                              <w:bCs/>
                                            </w:rPr>
                                            <w:t xml:space="preserve">) 200 mg hard capsules – </w:t>
                                          </w:r>
                                          <w:proofErr w:type="gramStart"/>
                                          <w:r w:rsidRPr="009E36CD">
                                            <w:rPr>
                                              <w:b/>
                                              <w:bCs/>
                                            </w:rPr>
                                            <w:t>shelf life</w:t>
                                          </w:r>
                                          <w:proofErr w:type="gramEnd"/>
                                          <w:r w:rsidRPr="009E36CD">
                                            <w:rPr>
                                              <w:b/>
                                              <w:bCs/>
                                            </w:rPr>
                                            <w:t xml:space="preserve"> extension</w:t>
                                          </w:r>
                                        </w:p>
                                        <w:p w14:paraId="1D20AF8B" w14:textId="77777777" w:rsidR="009E36CD" w:rsidRPr="009E36CD" w:rsidRDefault="009E36CD" w:rsidP="009E36CD">
                                          <w:proofErr w:type="gramStart"/>
                                          <w:r w:rsidRPr="009E36CD">
                                            <w:lastRenderedPageBreak/>
                                            <w:t>Medicines and Healthcare products Regulatory Agency (MHRA),</w:t>
                                          </w:r>
                                          <w:proofErr w:type="gramEnd"/>
                                          <w:r w:rsidRPr="009E36CD">
                                            <w:t xml:space="preserve"> has announced a shelf-life extension for certain batches of </w:t>
                                          </w:r>
                                          <w:proofErr w:type="spellStart"/>
                                          <w:r w:rsidRPr="009E36CD">
                                            <w:t>Lagevrio</w:t>
                                          </w:r>
                                          <w:proofErr w:type="spellEnd"/>
                                          <w:r w:rsidRPr="009E36CD">
                                            <w:t>® (</w:t>
                                          </w:r>
                                          <w:proofErr w:type="spellStart"/>
                                          <w:r w:rsidRPr="009E36CD">
                                            <w:t>molnupiravir</w:t>
                                          </w:r>
                                          <w:proofErr w:type="spellEnd"/>
                                          <w:r w:rsidRPr="009E36CD">
                                            <w:t>) 200 mg hard capsules.</w:t>
                                          </w:r>
                                          <w:r w:rsidRPr="009E36CD">
                                            <w:br/>
                                          </w:r>
                                          <w:r w:rsidRPr="009E36CD">
                                            <w:br/>
                                            <w:t>From around 9th August, September 2024 stock will be co-packed with a Dear Patient Letter to notify patients of its expiry until the end of March 2025. There is no need to remove the Patient Letter before passing the medicine to the patient. While the extension applies to all stock, pharmacies are not expected to print additional Patient Letters for stock already on shelves.</w:t>
                                          </w:r>
                                          <w:r w:rsidRPr="009E36CD">
                                            <w:br/>
                                          </w:r>
                                          <w:r w:rsidRPr="009E36CD">
                                            <w:br/>
                                          </w:r>
                                          <w:hyperlink r:id="rId20" w:tgtFrame="_blank" w:history="1">
                                            <w:r w:rsidRPr="009E36CD">
                                              <w:rPr>
                                                <w:rStyle w:val="Hyperlink"/>
                                              </w:rPr>
                                              <w:t>Learn more and view the full list</w:t>
                                            </w:r>
                                          </w:hyperlink>
                                          <w:hyperlink r:id="rId21" w:tgtFrame="_blank" w:history="1">
                                            <w:r w:rsidRPr="009E36CD">
                                              <w:rPr>
                                                <w:rStyle w:val="Hyperlink"/>
                                              </w:rPr>
                                              <w:t> of affected batches</w:t>
                                            </w:r>
                                          </w:hyperlink>
                                        </w:p>
                                      </w:tc>
                                    </w:tr>
                                  </w:tbl>
                                  <w:p w14:paraId="01B0EF59" w14:textId="77777777" w:rsidR="009E36CD" w:rsidRPr="009E36CD" w:rsidRDefault="009E36CD" w:rsidP="009E36CD"/>
                                </w:tc>
                              </w:tr>
                            </w:tbl>
                            <w:p w14:paraId="1669E1F9" w14:textId="77777777" w:rsidR="009E36CD" w:rsidRPr="009E36CD" w:rsidRDefault="009E36CD" w:rsidP="009E36CD"/>
                          </w:tc>
                        </w:tr>
                        <w:tr w:rsidR="009E36CD" w:rsidRPr="009E36CD" w14:paraId="0230C28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E36CD" w:rsidRPr="009E36CD" w14:paraId="542A26FA" w14:textId="77777777">
                                <w:tc>
                                  <w:tcPr>
                                    <w:tcW w:w="0" w:type="auto"/>
                                    <w:tcBorders>
                                      <w:top w:val="single" w:sz="12" w:space="0" w:color="106B62"/>
                                      <w:left w:val="nil"/>
                                      <w:bottom w:val="nil"/>
                                      <w:right w:val="nil"/>
                                    </w:tcBorders>
                                    <w:vAlign w:val="center"/>
                                    <w:hideMark/>
                                  </w:tcPr>
                                  <w:p w14:paraId="2310BCDD" w14:textId="77777777" w:rsidR="009E36CD" w:rsidRPr="009E36CD" w:rsidRDefault="009E36CD" w:rsidP="009E36CD"/>
                                </w:tc>
                              </w:tr>
                            </w:tbl>
                            <w:p w14:paraId="7026239A" w14:textId="77777777" w:rsidR="009E36CD" w:rsidRPr="009E36CD" w:rsidRDefault="009E36CD" w:rsidP="009E36CD"/>
                          </w:tc>
                        </w:tr>
                        <w:tr w:rsidR="009E36CD" w:rsidRPr="009E36CD" w14:paraId="2C0CDD6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E36CD" w:rsidRPr="009E36CD" w14:paraId="3CE0F307" w14:textId="77777777">
                                <w:tc>
                                  <w:tcPr>
                                    <w:tcW w:w="0" w:type="auto"/>
                                    <w:tcMar>
                                      <w:top w:w="0" w:type="dxa"/>
                                      <w:left w:w="135" w:type="dxa"/>
                                      <w:bottom w:w="0" w:type="dxa"/>
                                      <w:right w:w="135" w:type="dxa"/>
                                    </w:tcMar>
                                    <w:hideMark/>
                                  </w:tcPr>
                                  <w:p w14:paraId="59D78A49" w14:textId="2CD7D6B6" w:rsidR="009E36CD" w:rsidRPr="009E36CD" w:rsidRDefault="009E36CD" w:rsidP="009E36CD">
                                    <w:r w:rsidRPr="009E36CD">
                                      <w:drawing>
                                        <wp:inline distT="0" distB="0" distL="0" distR="0" wp14:anchorId="366A98FE" wp14:editId="1FA8E14C">
                                          <wp:extent cx="5372100" cy="838200"/>
                                          <wp:effectExtent l="0" t="0" r="0" b="0"/>
                                          <wp:docPr id="945889250" name="Picture 16" descr="Community Pharmacy England banner">
                                            <a:hlinkClick xmlns:a="http://schemas.openxmlformats.org/drawingml/2006/main" r:id="rId2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CD82B96" w14:textId="77777777" w:rsidR="009E36CD" w:rsidRPr="009E36CD" w:rsidRDefault="009E36CD" w:rsidP="009E36CD"/>
                          </w:tc>
                        </w:tr>
                        <w:tr w:rsidR="009E36CD" w:rsidRPr="009E36CD" w14:paraId="43C9F2F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E36CD" w:rsidRPr="009E36CD" w14:paraId="153F98DA" w14:textId="77777777">
                                <w:tc>
                                  <w:tcPr>
                                    <w:tcW w:w="0" w:type="auto"/>
                                    <w:tcBorders>
                                      <w:top w:val="single" w:sz="12" w:space="0" w:color="106B62"/>
                                      <w:left w:val="nil"/>
                                      <w:bottom w:val="nil"/>
                                      <w:right w:val="nil"/>
                                    </w:tcBorders>
                                    <w:vAlign w:val="center"/>
                                    <w:hideMark/>
                                  </w:tcPr>
                                  <w:p w14:paraId="7A7929A5" w14:textId="77777777" w:rsidR="009E36CD" w:rsidRPr="009E36CD" w:rsidRDefault="009E36CD" w:rsidP="009E36CD"/>
                                </w:tc>
                              </w:tr>
                            </w:tbl>
                            <w:p w14:paraId="43D7AB0D" w14:textId="77777777" w:rsidR="009E36CD" w:rsidRPr="009E36CD" w:rsidRDefault="009E36CD" w:rsidP="009E36CD"/>
                          </w:tc>
                        </w:tr>
                      </w:tbl>
                      <w:p w14:paraId="357B582F" w14:textId="77777777" w:rsidR="009E36CD" w:rsidRPr="009E36CD" w:rsidRDefault="009E36CD" w:rsidP="009E36CD"/>
                    </w:tc>
                  </w:tr>
                  <w:tr w:rsidR="009E36CD" w:rsidRPr="009E36CD" w14:paraId="054FA144"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E36CD" w:rsidRPr="009E36CD" w14:paraId="68F48FC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9E36CD" w:rsidRPr="009E36CD" w14:paraId="3B5B21C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9E36CD" w:rsidRPr="009E36CD" w14:paraId="772655A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9E36CD" w:rsidRPr="009E36CD" w14:paraId="2428307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9E36CD" w:rsidRPr="009E36CD" w14:paraId="596067B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E36CD" w:rsidRPr="009E36CD" w14:paraId="31ED772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E36CD" w:rsidRPr="009E36CD" w14:paraId="14C6589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E36CD" w:rsidRPr="009E36CD" w14:paraId="0027D8CC" w14:textId="77777777">
                                                                    <w:tc>
                                                                      <w:tcPr>
                                                                        <w:tcW w:w="360" w:type="dxa"/>
                                                                        <w:vAlign w:val="center"/>
                                                                        <w:hideMark/>
                                                                      </w:tcPr>
                                                                      <w:p w14:paraId="175A597D" w14:textId="2FC993FB" w:rsidR="009E36CD" w:rsidRPr="009E36CD" w:rsidRDefault="009E36CD" w:rsidP="009E36CD">
                                                                        <w:r w:rsidRPr="009E36CD">
                                                                          <w:lastRenderedPageBreak/>
                                                                          <w:drawing>
                                                                            <wp:inline distT="0" distB="0" distL="0" distR="0" wp14:anchorId="327C0A23" wp14:editId="63899297">
                                                                              <wp:extent cx="228600" cy="228600"/>
                                                                              <wp:effectExtent l="0" t="0" r="0" b="0"/>
                                                                              <wp:docPr id="1821665650" name="Picture 15"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B4A90F" w14:textId="77777777" w:rsidR="009E36CD" w:rsidRPr="009E36CD" w:rsidRDefault="009E36CD" w:rsidP="009E36CD"/>
                                                              </w:tc>
                                                            </w:tr>
                                                          </w:tbl>
                                                          <w:p w14:paraId="1841DDFA" w14:textId="77777777" w:rsidR="009E36CD" w:rsidRPr="009E36CD" w:rsidRDefault="009E36CD" w:rsidP="009E36CD"/>
                                                        </w:tc>
                                                      </w:tr>
                                                    </w:tbl>
                                                    <w:p w14:paraId="7E01BD96" w14:textId="77777777" w:rsidR="009E36CD" w:rsidRPr="009E36CD" w:rsidRDefault="009E36CD" w:rsidP="009E36CD"/>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E36CD" w:rsidRPr="009E36CD" w14:paraId="0CB1874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E36CD" w:rsidRPr="009E36CD" w14:paraId="124906D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E36CD" w:rsidRPr="009E36CD" w14:paraId="7435CA9E" w14:textId="77777777">
                                                                    <w:tc>
                                                                      <w:tcPr>
                                                                        <w:tcW w:w="360" w:type="dxa"/>
                                                                        <w:vAlign w:val="center"/>
                                                                        <w:hideMark/>
                                                                      </w:tcPr>
                                                                      <w:p w14:paraId="23D31769" w14:textId="469E27D3" w:rsidR="009E36CD" w:rsidRPr="009E36CD" w:rsidRDefault="009E36CD" w:rsidP="009E36CD">
                                                                        <w:r w:rsidRPr="009E36CD">
                                                                          <w:drawing>
                                                                            <wp:inline distT="0" distB="0" distL="0" distR="0" wp14:anchorId="5B9DAD97" wp14:editId="79D0496F">
                                                                              <wp:extent cx="228600" cy="228600"/>
                                                                              <wp:effectExtent l="0" t="0" r="0" b="0"/>
                                                                              <wp:docPr id="664024099" name="Picture 14" descr="Facebook">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EAB076F" w14:textId="77777777" w:rsidR="009E36CD" w:rsidRPr="009E36CD" w:rsidRDefault="009E36CD" w:rsidP="009E36CD"/>
                                                              </w:tc>
                                                            </w:tr>
                                                          </w:tbl>
                                                          <w:p w14:paraId="16992873" w14:textId="77777777" w:rsidR="009E36CD" w:rsidRPr="009E36CD" w:rsidRDefault="009E36CD" w:rsidP="009E36CD"/>
                                                        </w:tc>
                                                      </w:tr>
                                                    </w:tbl>
                                                    <w:p w14:paraId="119FEE9D" w14:textId="77777777" w:rsidR="009E36CD" w:rsidRPr="009E36CD" w:rsidRDefault="009E36CD" w:rsidP="009E36CD"/>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E36CD" w:rsidRPr="009E36CD" w14:paraId="70E6924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E36CD" w:rsidRPr="009E36CD" w14:paraId="05E5062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E36CD" w:rsidRPr="009E36CD" w14:paraId="532D6343" w14:textId="77777777">
                                                                    <w:tc>
                                                                      <w:tcPr>
                                                                        <w:tcW w:w="360" w:type="dxa"/>
                                                                        <w:vAlign w:val="center"/>
                                                                        <w:hideMark/>
                                                                      </w:tcPr>
                                                                      <w:p w14:paraId="3F91B083" w14:textId="232784A6" w:rsidR="009E36CD" w:rsidRPr="009E36CD" w:rsidRDefault="009E36CD" w:rsidP="009E36CD">
                                                                        <w:r w:rsidRPr="009E36CD">
                                                                          <w:drawing>
                                                                            <wp:inline distT="0" distB="0" distL="0" distR="0" wp14:anchorId="4B1961A1" wp14:editId="08579623">
                                                                              <wp:extent cx="228600" cy="228600"/>
                                                                              <wp:effectExtent l="0" t="0" r="0" b="0"/>
                                                                              <wp:docPr id="1463072081" name="Picture 13"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45DABC" w14:textId="77777777" w:rsidR="009E36CD" w:rsidRPr="009E36CD" w:rsidRDefault="009E36CD" w:rsidP="009E36CD"/>
                                                              </w:tc>
                                                            </w:tr>
                                                          </w:tbl>
                                                          <w:p w14:paraId="3E2A1EA6" w14:textId="77777777" w:rsidR="009E36CD" w:rsidRPr="009E36CD" w:rsidRDefault="009E36CD" w:rsidP="009E36CD"/>
                                                        </w:tc>
                                                      </w:tr>
                                                    </w:tbl>
                                                    <w:p w14:paraId="5886B50A" w14:textId="77777777" w:rsidR="009E36CD" w:rsidRPr="009E36CD" w:rsidRDefault="009E36CD" w:rsidP="009E36CD"/>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E36CD" w:rsidRPr="009E36CD" w14:paraId="51D9079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E36CD" w:rsidRPr="009E36CD" w14:paraId="300559C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E36CD" w:rsidRPr="009E36CD" w14:paraId="10272EAF" w14:textId="77777777">
                                                                    <w:tc>
                                                                      <w:tcPr>
                                                                        <w:tcW w:w="360" w:type="dxa"/>
                                                                        <w:vAlign w:val="center"/>
                                                                        <w:hideMark/>
                                                                      </w:tcPr>
                                                                      <w:p w14:paraId="42DC153A" w14:textId="556FC2DF" w:rsidR="009E36CD" w:rsidRPr="009E36CD" w:rsidRDefault="009E36CD" w:rsidP="009E36CD">
                                                                        <w:r w:rsidRPr="009E36CD">
                                                                          <w:drawing>
                                                                            <wp:inline distT="0" distB="0" distL="0" distR="0" wp14:anchorId="27C34D48" wp14:editId="2FA7DA55">
                                                                              <wp:extent cx="228600" cy="228600"/>
                                                                              <wp:effectExtent l="0" t="0" r="0" b="0"/>
                                                                              <wp:docPr id="1956719991" name="Picture 12" descr="Websit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A36B688" w14:textId="77777777" w:rsidR="009E36CD" w:rsidRPr="009E36CD" w:rsidRDefault="009E36CD" w:rsidP="009E36CD"/>
                                                              </w:tc>
                                                            </w:tr>
                                                          </w:tbl>
                                                          <w:p w14:paraId="5851B6A7" w14:textId="77777777" w:rsidR="009E36CD" w:rsidRPr="009E36CD" w:rsidRDefault="009E36CD" w:rsidP="009E36CD"/>
                                                        </w:tc>
                                                      </w:tr>
                                                    </w:tbl>
                                                    <w:p w14:paraId="0E046341" w14:textId="77777777" w:rsidR="009E36CD" w:rsidRPr="009E36CD" w:rsidRDefault="009E36CD" w:rsidP="009E36CD"/>
                                                  </w:tc>
                                                </w:tr>
                                              </w:tbl>
                                              <w:p w14:paraId="6277ACAC" w14:textId="77777777" w:rsidR="009E36CD" w:rsidRPr="009E36CD" w:rsidRDefault="009E36CD" w:rsidP="009E36CD"/>
                                            </w:tc>
                                          </w:tr>
                                        </w:tbl>
                                        <w:p w14:paraId="34D8AB09" w14:textId="77777777" w:rsidR="009E36CD" w:rsidRPr="009E36CD" w:rsidRDefault="009E36CD" w:rsidP="009E36CD"/>
                                      </w:tc>
                                    </w:tr>
                                  </w:tbl>
                                  <w:p w14:paraId="14AFE7C5" w14:textId="77777777" w:rsidR="009E36CD" w:rsidRPr="009E36CD" w:rsidRDefault="009E36CD" w:rsidP="009E36CD"/>
                                </w:tc>
                              </w:tr>
                            </w:tbl>
                            <w:p w14:paraId="322C4F8D" w14:textId="77777777" w:rsidR="009E36CD" w:rsidRPr="009E36CD" w:rsidRDefault="009E36CD" w:rsidP="009E36CD"/>
                          </w:tc>
                        </w:tr>
                        <w:tr w:rsidR="009E36CD" w:rsidRPr="009E36CD" w14:paraId="16AF68E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E36CD" w:rsidRPr="009E36CD" w14:paraId="63BF162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E36CD" w:rsidRPr="009E36CD" w14:paraId="2AB5C969" w14:textId="77777777">
                                      <w:tc>
                                        <w:tcPr>
                                          <w:tcW w:w="0" w:type="auto"/>
                                          <w:tcMar>
                                            <w:top w:w="0" w:type="dxa"/>
                                            <w:left w:w="270" w:type="dxa"/>
                                            <w:bottom w:w="135" w:type="dxa"/>
                                            <w:right w:w="270" w:type="dxa"/>
                                          </w:tcMar>
                                          <w:hideMark/>
                                        </w:tcPr>
                                        <w:p w14:paraId="0943EB9D" w14:textId="77777777" w:rsidR="009E36CD" w:rsidRPr="009E36CD" w:rsidRDefault="009E36CD" w:rsidP="009E36CD">
                                          <w:pPr>
                                            <w:jc w:val="center"/>
                                          </w:pPr>
                                          <w:r w:rsidRPr="009E36CD">
                                            <w:rPr>
                                              <w:b/>
                                              <w:bCs/>
                                            </w:rPr>
                                            <w:t>Community Pharmacy England</w:t>
                                          </w:r>
                                          <w:r w:rsidRPr="009E36CD">
                                            <w:br/>
                                            <w:t>Address: 14 Hosier Lane, London EC1A 9LQ</w:t>
                                          </w:r>
                                          <w:r w:rsidRPr="009E36CD">
                                            <w:br/>
                                            <w:t xml:space="preserve">Tel: 0203 1220 810 | Email: </w:t>
                                          </w:r>
                                          <w:hyperlink r:id="rId37" w:history="1">
                                            <w:r w:rsidRPr="009E36CD">
                                              <w:rPr>
                                                <w:rStyle w:val="Hyperlink"/>
                                              </w:rPr>
                                              <w:t>comms.team@cpe.org.uk</w:t>
                                            </w:r>
                                          </w:hyperlink>
                                        </w:p>
                                        <w:p w14:paraId="0DB29000" w14:textId="77777777" w:rsidR="009E36CD" w:rsidRPr="009E36CD" w:rsidRDefault="009E36CD" w:rsidP="009E36CD">
                                          <w:pPr>
                                            <w:jc w:val="center"/>
                                          </w:pPr>
                                          <w:r w:rsidRPr="009E36CD">
                                            <w:rPr>
                                              <w:i/>
                                              <w:iCs/>
                                            </w:rPr>
                                            <w:t xml:space="preserve">Copyright © 2024 Community Pharmacy England, </w:t>
                                          </w:r>
                                          <w:proofErr w:type="gramStart"/>
                                          <w:r w:rsidRPr="009E36CD">
                                            <w:rPr>
                                              <w:i/>
                                              <w:iCs/>
                                            </w:rPr>
                                            <w:t>All</w:t>
                                          </w:r>
                                          <w:proofErr w:type="gramEnd"/>
                                          <w:r w:rsidRPr="009E36CD">
                                            <w:rPr>
                                              <w:i/>
                                              <w:iCs/>
                                            </w:rPr>
                                            <w:t xml:space="preserve"> rights reserved.</w:t>
                                          </w:r>
                                        </w:p>
                                        <w:p w14:paraId="5533439D" w14:textId="45C4C79E" w:rsidR="009E36CD" w:rsidRPr="009E36CD" w:rsidRDefault="009E36CD" w:rsidP="009E36CD">
                                          <w:pPr>
                                            <w:jc w:val="center"/>
                                          </w:pPr>
                                          <w:r w:rsidRPr="009E36CD">
                                            <w:t>You are receiving this email because you are subscribed to our newsletters. Please note Community Pharmacy England is the operating name of the Pharmaceutical Services Negotiating Committee (PSNC).</w:t>
                                          </w:r>
                                        </w:p>
                                      </w:tc>
                                    </w:tr>
                                  </w:tbl>
                                  <w:p w14:paraId="1AFC7FCA" w14:textId="77777777" w:rsidR="009E36CD" w:rsidRPr="009E36CD" w:rsidRDefault="009E36CD" w:rsidP="009E36CD"/>
                                </w:tc>
                              </w:tr>
                            </w:tbl>
                            <w:p w14:paraId="34C2226C" w14:textId="77777777" w:rsidR="009E36CD" w:rsidRPr="009E36CD" w:rsidRDefault="009E36CD" w:rsidP="009E36CD"/>
                          </w:tc>
                        </w:tr>
                      </w:tbl>
                      <w:p w14:paraId="6258D77C" w14:textId="77777777" w:rsidR="009E36CD" w:rsidRPr="009E36CD" w:rsidRDefault="009E36CD" w:rsidP="009E36CD"/>
                    </w:tc>
                  </w:tr>
                </w:tbl>
                <w:p w14:paraId="5AEA72C9" w14:textId="77777777" w:rsidR="009E36CD" w:rsidRPr="009E36CD" w:rsidRDefault="009E36CD" w:rsidP="009E36CD"/>
              </w:tc>
            </w:tr>
          </w:tbl>
          <w:p w14:paraId="638F044C" w14:textId="77777777" w:rsidR="009E36CD" w:rsidRPr="009E36CD" w:rsidRDefault="009E36CD" w:rsidP="009E36CD"/>
        </w:tc>
      </w:tr>
    </w:tbl>
    <w:p w14:paraId="13894D3B" w14:textId="6D0D12A6" w:rsidR="00DD1890" w:rsidRDefault="009E36CD">
      <w:r w:rsidRPr="009E36CD">
        <w:lastRenderedPageBreak/>
        <w:drawing>
          <wp:inline distT="0" distB="0" distL="0" distR="0" wp14:anchorId="0A789D4C" wp14:editId="7DCAEE1D">
            <wp:extent cx="9525" cy="9525"/>
            <wp:effectExtent l="0" t="0" r="0" b="0"/>
            <wp:docPr id="20717107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CD"/>
    <w:rsid w:val="0026350C"/>
    <w:rsid w:val="005230FC"/>
    <w:rsid w:val="00633A8E"/>
    <w:rsid w:val="009E36C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0341"/>
  <w15:chartTrackingRefBased/>
  <w15:docId w15:val="{DA2CD214-0CD1-4B37-9188-947BB41A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6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6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6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6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6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6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6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6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6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6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6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6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6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6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6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6CD"/>
    <w:rPr>
      <w:rFonts w:eastAsiaTheme="majorEastAsia" w:cstheme="majorBidi"/>
      <w:color w:val="272727" w:themeColor="text1" w:themeTint="D8"/>
    </w:rPr>
  </w:style>
  <w:style w:type="paragraph" w:styleId="Title">
    <w:name w:val="Title"/>
    <w:basedOn w:val="Normal"/>
    <w:next w:val="Normal"/>
    <w:link w:val="TitleChar"/>
    <w:uiPriority w:val="10"/>
    <w:qFormat/>
    <w:rsid w:val="009E36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6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6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6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6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36CD"/>
    <w:rPr>
      <w:i/>
      <w:iCs/>
      <w:color w:val="404040" w:themeColor="text1" w:themeTint="BF"/>
    </w:rPr>
  </w:style>
  <w:style w:type="paragraph" w:styleId="ListParagraph">
    <w:name w:val="List Paragraph"/>
    <w:basedOn w:val="Normal"/>
    <w:uiPriority w:val="34"/>
    <w:qFormat/>
    <w:rsid w:val="009E36CD"/>
    <w:pPr>
      <w:ind w:left="720"/>
      <w:contextualSpacing/>
    </w:pPr>
  </w:style>
  <w:style w:type="character" w:styleId="IntenseEmphasis">
    <w:name w:val="Intense Emphasis"/>
    <w:basedOn w:val="DefaultParagraphFont"/>
    <w:uiPriority w:val="21"/>
    <w:qFormat/>
    <w:rsid w:val="009E36CD"/>
    <w:rPr>
      <w:i/>
      <w:iCs/>
      <w:color w:val="0F4761" w:themeColor="accent1" w:themeShade="BF"/>
    </w:rPr>
  </w:style>
  <w:style w:type="paragraph" w:styleId="IntenseQuote">
    <w:name w:val="Intense Quote"/>
    <w:basedOn w:val="Normal"/>
    <w:next w:val="Normal"/>
    <w:link w:val="IntenseQuoteChar"/>
    <w:uiPriority w:val="30"/>
    <w:qFormat/>
    <w:rsid w:val="009E3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6CD"/>
    <w:rPr>
      <w:i/>
      <w:iCs/>
      <w:color w:val="0F4761" w:themeColor="accent1" w:themeShade="BF"/>
    </w:rPr>
  </w:style>
  <w:style w:type="character" w:styleId="IntenseReference">
    <w:name w:val="Intense Reference"/>
    <w:basedOn w:val="DefaultParagraphFont"/>
    <w:uiPriority w:val="32"/>
    <w:qFormat/>
    <w:rsid w:val="009E36CD"/>
    <w:rPr>
      <w:b/>
      <w:bCs/>
      <w:smallCaps/>
      <w:color w:val="0F4761" w:themeColor="accent1" w:themeShade="BF"/>
      <w:spacing w:val="5"/>
    </w:rPr>
  </w:style>
  <w:style w:type="character" w:styleId="Hyperlink">
    <w:name w:val="Hyperlink"/>
    <w:basedOn w:val="DefaultParagraphFont"/>
    <w:uiPriority w:val="99"/>
    <w:unhideWhenUsed/>
    <w:rsid w:val="009E36CD"/>
    <w:rPr>
      <w:color w:val="467886" w:themeColor="hyperlink"/>
      <w:u w:val="single"/>
    </w:rPr>
  </w:style>
  <w:style w:type="character" w:styleId="UnresolvedMention">
    <w:name w:val="Unresolved Mention"/>
    <w:basedOn w:val="DefaultParagraphFont"/>
    <w:uiPriority w:val="99"/>
    <w:semiHidden/>
    <w:unhideWhenUsed/>
    <w:rsid w:val="009E3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283008">
      <w:bodyDiv w:val="1"/>
      <w:marLeft w:val="0"/>
      <w:marRight w:val="0"/>
      <w:marTop w:val="0"/>
      <w:marBottom w:val="0"/>
      <w:divBdr>
        <w:top w:val="none" w:sz="0" w:space="0" w:color="auto"/>
        <w:left w:val="none" w:sz="0" w:space="0" w:color="auto"/>
        <w:bottom w:val="none" w:sz="0" w:space="0" w:color="auto"/>
        <w:right w:val="none" w:sz="0" w:space="0" w:color="auto"/>
      </w:divBdr>
    </w:div>
    <w:div w:id="14392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d7452b829a&amp;e=d19e9fd41c" TargetMode="External"/><Relationship Id="rId18" Type="http://schemas.openxmlformats.org/officeDocument/2006/relationships/hyperlink" Target="https://cpe.us7.list-manage.com/track/click?u=86d41ab7fa4c7c2c5d7210782&amp;id=55ced22212&amp;e=d19e9fd41c" TargetMode="External"/><Relationship Id="rId26" Type="http://schemas.openxmlformats.org/officeDocument/2006/relationships/image" Target="media/image6.png"/><Relationship Id="rId39" Type="http://schemas.openxmlformats.org/officeDocument/2006/relationships/image" Target="https://cpe.us7.list-manage.com/track/open.php?u=86d41ab7fa4c7c2c5d7210782&amp;id=b03e2f48c7&amp;e=d19e9fd41c"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57d225effa&amp;e=d19e9fd41c" TargetMode="External"/><Relationship Id="rId34" Type="http://schemas.openxmlformats.org/officeDocument/2006/relationships/hyperlink" Target="https://cpe.us7.list-manage.com/track/click?u=86d41ab7fa4c7c2c5d7210782&amp;id=be340fe45c&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9127b889ce&amp;e=d19e9fd41c" TargetMode="External"/><Relationship Id="rId17" Type="http://schemas.openxmlformats.org/officeDocument/2006/relationships/hyperlink" Target="https://cpe.us7.list-manage.com/track/click?u=86d41ab7fa4c7c2c5d7210782&amp;id=df1e800246&amp;e=d19e9fd41c" TargetMode="External"/><Relationship Id="rId25" Type="http://schemas.openxmlformats.org/officeDocument/2006/relationships/hyperlink" Target="https://cpe.us7.list-manage.com/track/click?u=86d41ab7fa4c7c2c5d7210782&amp;id=f3a4a9bfa2&amp;e=d19e9fd41c" TargetMode="External"/><Relationship Id="rId33" Type="http://schemas.openxmlformats.org/officeDocument/2006/relationships/image" Target="https://cdn-images.mailchimp.com/icons/social-block-v2/light-linkedin-48.png" TargetMode="External"/><Relationship Id="rId38" Type="http://schemas.openxmlformats.org/officeDocument/2006/relationships/image" Target="media/image10.gif"/><Relationship Id="rId2" Type="http://schemas.openxmlformats.org/officeDocument/2006/relationships/settings" Target="settings.xml"/><Relationship Id="rId16" Type="http://schemas.openxmlformats.org/officeDocument/2006/relationships/hyperlink" Target="https://cpe.us7.list-manage.com/track/click?u=86d41ab7fa4c7c2c5d7210782&amp;id=5a2c90713b&amp;e=d19e9fd41c" TargetMode="External"/><Relationship Id="rId20" Type="http://schemas.openxmlformats.org/officeDocument/2006/relationships/hyperlink" Target="https://cpe.us7.list-manage.com/track/click?u=86d41ab7fa4c7c2c5d7210782&amp;id=3e54c5d1b1&amp;e=d19e9fd41c" TargetMode="External"/><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e8617588-d2d6-7801-4aa5-b9da893999f2.png" TargetMode="External"/><Relationship Id="rId24" Type="http://schemas.openxmlformats.org/officeDocument/2006/relationships/image" Target="https://mcusercontent.com/86d41ab7fa4c7c2c5d7210782/images/7dd25f18-3689-aa98-f45a-a0346a806f26.png" TargetMode="External"/><Relationship Id="rId32" Type="http://schemas.openxmlformats.org/officeDocument/2006/relationships/image" Target="media/image8.png"/><Relationship Id="rId37" Type="http://schemas.openxmlformats.org/officeDocument/2006/relationships/hyperlink" Target="mailto:comms.team@cpe.org.uk"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https://mcusercontent.com/86d41ab7fa4c7c2c5d7210782/images/37cd7931-8014-c482-e9be-d24bcee1d4a4.png"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a72456742b&amp;e=d19e9fd41c" TargetMode="External"/><Relationship Id="rId36" Type="http://schemas.openxmlformats.org/officeDocument/2006/relationships/image" Target="https://cdn-images.mailchimp.com/icons/social-block-v2/light-link-48.png"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3c8bea2481&amp;e=d19e9fd41c" TargetMode="External"/><Relationship Id="rId31" Type="http://schemas.openxmlformats.org/officeDocument/2006/relationships/hyperlink" Target="https://cpe.us7.list-manage.com/track/click?u=86d41ab7fa4c7c2c5d7210782&amp;id=756d5a43f0&amp;e=d19e9fd41c" TargetMode="External"/><Relationship Id="rId4" Type="http://schemas.openxmlformats.org/officeDocument/2006/relationships/hyperlink" Target="https://cpe.us7.list-manage.com/track/click?u=86d41ab7fa4c7c2c5d7210782&amp;id=79cbc5664e&amp;e=d19e9fd41c" TargetMode="External"/><Relationship Id="rId9" Type="http://schemas.openxmlformats.org/officeDocument/2006/relationships/hyperlink" Target="https://cpe.us7.list-manage.com/track/click?u=86d41ab7fa4c7c2c5d7210782&amp;id=012b290a56&amp;e=d19e9fd41c" TargetMode="External"/><Relationship Id="rId14" Type="http://schemas.openxmlformats.org/officeDocument/2006/relationships/image" Target="media/image4.png"/><Relationship Id="rId22" Type="http://schemas.openxmlformats.org/officeDocument/2006/relationships/hyperlink" Target="https://cpe.us7.list-manage.com/track/click?u=86d41ab7fa4c7c2c5d7210782&amp;id=63095bdb78&amp;e=d19e9fd41c" TargetMode="External"/><Relationship Id="rId27" Type="http://schemas.openxmlformats.org/officeDocument/2006/relationships/image" Target="https://cdn-images.mailchimp.com/icons/social-block-v2/light-twitter-48.png" TargetMode="External"/><Relationship Id="rId30" Type="http://schemas.openxmlformats.org/officeDocument/2006/relationships/image" Target="https://cdn-images.mailchimp.com/icons/social-block-v2/light-facebook-48.png" TargetMode="External"/><Relationship Id="rId35"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2024-08-07T08:52:00Z</dcterms:created>
  <dcterms:modified xsi:type="dcterms:W3CDTF">2024-08-07T08:54:00Z</dcterms:modified>
</cp:coreProperties>
</file>