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0142B" w:rsidRPr="0000142B" w14:paraId="0798CC0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0142B" w:rsidRPr="0000142B" w14:paraId="538D7E6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0142B" w:rsidRPr="0000142B" w14:paraId="0E1226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1A177C28" w14:textId="77777777">
                          <w:tc>
                            <w:tcPr>
                              <w:tcW w:w="9000" w:type="dxa"/>
                              <w:hideMark/>
                            </w:tcPr>
                            <w:p w14:paraId="7EAEFC71" w14:textId="77777777" w:rsidR="0000142B" w:rsidRPr="0000142B" w:rsidRDefault="0000142B" w:rsidP="0000142B">
                              <w:pPr>
                                <w:spacing w:after="0" w:line="240" w:lineRule="auto"/>
                              </w:pPr>
                            </w:p>
                          </w:tc>
                        </w:tr>
                      </w:tbl>
                      <w:p w14:paraId="1202BCD0" w14:textId="77777777" w:rsidR="0000142B" w:rsidRPr="0000142B" w:rsidRDefault="0000142B" w:rsidP="0000142B">
                        <w:pPr>
                          <w:spacing w:after="0" w:line="240" w:lineRule="auto"/>
                        </w:pPr>
                      </w:p>
                    </w:tc>
                  </w:tr>
                </w:tbl>
                <w:p w14:paraId="695A9831" w14:textId="77777777" w:rsidR="0000142B" w:rsidRPr="0000142B" w:rsidRDefault="0000142B" w:rsidP="0000142B">
                  <w:pPr>
                    <w:spacing w:after="0" w:line="240" w:lineRule="auto"/>
                  </w:pPr>
                </w:p>
              </w:tc>
            </w:tr>
            <w:tr w:rsidR="0000142B" w:rsidRPr="0000142B" w14:paraId="52E1FAA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0142B" w:rsidRPr="0000142B" w14:paraId="7CEE154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0142B" w:rsidRPr="0000142B" w14:paraId="335B3E4C"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0142B" w:rsidRPr="0000142B" w14:paraId="2E67265B" w14:textId="77777777">
                                <w:tc>
                                  <w:tcPr>
                                    <w:tcW w:w="0" w:type="auto"/>
                                    <w:hideMark/>
                                  </w:tcPr>
                                  <w:p w14:paraId="7636C66C" w14:textId="77725FC4" w:rsidR="0000142B" w:rsidRPr="0000142B" w:rsidRDefault="0000142B" w:rsidP="0000142B">
                                    <w:pPr>
                                      <w:spacing w:after="0" w:line="240" w:lineRule="auto"/>
                                    </w:pPr>
                                    <w:r w:rsidRPr="0000142B">
                                      <w:drawing>
                                        <wp:inline distT="0" distB="0" distL="0" distR="0" wp14:anchorId="1859396D" wp14:editId="60F6CF0F">
                                          <wp:extent cx="2514600" cy="812800"/>
                                          <wp:effectExtent l="0" t="0" r="0" b="6350"/>
                                          <wp:docPr id="1987469632"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0142B" w:rsidRPr="0000142B" w14:paraId="35866AB3" w14:textId="77777777">
                                <w:tc>
                                  <w:tcPr>
                                    <w:tcW w:w="0" w:type="auto"/>
                                    <w:hideMark/>
                                  </w:tcPr>
                                  <w:p w14:paraId="4637341F" w14:textId="77777777" w:rsidR="0000142B" w:rsidRPr="0000142B" w:rsidRDefault="0000142B" w:rsidP="0000142B">
                                    <w:pPr>
                                      <w:spacing w:after="0" w:line="240" w:lineRule="auto"/>
                                      <w:jc w:val="right"/>
                                      <w:rPr>
                                        <w:b/>
                                        <w:bCs/>
                                        <w:sz w:val="36"/>
                                        <w:szCs w:val="36"/>
                                      </w:rPr>
                                    </w:pPr>
                                    <w:r w:rsidRPr="0000142B">
                                      <w:rPr>
                                        <w:b/>
                                        <w:bCs/>
                                        <w:sz w:val="36"/>
                                        <w:szCs w:val="36"/>
                                      </w:rPr>
                                      <w:t>Newsletter</w:t>
                                    </w:r>
                                  </w:p>
                                  <w:p w14:paraId="4ED7528A" w14:textId="77777777" w:rsidR="0000142B" w:rsidRPr="0000142B" w:rsidRDefault="0000142B" w:rsidP="0000142B">
                                    <w:pPr>
                                      <w:spacing w:after="0" w:line="240" w:lineRule="auto"/>
                                      <w:jc w:val="right"/>
                                    </w:pPr>
                                    <w:r w:rsidRPr="0000142B">
                                      <w:rPr>
                                        <w:sz w:val="36"/>
                                        <w:szCs w:val="36"/>
                                      </w:rPr>
                                      <w:t>10th October 2025</w:t>
                                    </w:r>
                                  </w:p>
                                </w:tc>
                              </w:tr>
                            </w:tbl>
                            <w:p w14:paraId="00B82475" w14:textId="77777777" w:rsidR="0000142B" w:rsidRPr="0000142B" w:rsidRDefault="0000142B" w:rsidP="0000142B">
                              <w:pPr>
                                <w:spacing w:after="0" w:line="240" w:lineRule="auto"/>
                              </w:pPr>
                            </w:p>
                          </w:tc>
                        </w:tr>
                      </w:tbl>
                      <w:p w14:paraId="4E71C060" w14:textId="77777777" w:rsidR="0000142B" w:rsidRPr="0000142B" w:rsidRDefault="0000142B" w:rsidP="0000142B">
                        <w:pPr>
                          <w:spacing w:after="0" w:line="240" w:lineRule="auto"/>
                        </w:pPr>
                      </w:p>
                    </w:tc>
                  </w:tr>
                </w:tbl>
                <w:p w14:paraId="54B22FD6" w14:textId="77777777" w:rsidR="0000142B" w:rsidRPr="0000142B" w:rsidRDefault="0000142B" w:rsidP="0000142B">
                  <w:pPr>
                    <w:spacing w:after="0" w:line="240" w:lineRule="auto"/>
                  </w:pPr>
                </w:p>
              </w:tc>
            </w:tr>
            <w:tr w:rsidR="0000142B" w:rsidRPr="0000142B" w14:paraId="4A25A31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0142B" w:rsidRPr="0000142B" w14:paraId="74B75A2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142B" w:rsidRPr="0000142B" w14:paraId="3616EE8C" w14:textId="77777777">
                          <w:tc>
                            <w:tcPr>
                              <w:tcW w:w="0" w:type="auto"/>
                              <w:tcMar>
                                <w:top w:w="0" w:type="dxa"/>
                                <w:left w:w="135" w:type="dxa"/>
                                <w:bottom w:w="0" w:type="dxa"/>
                                <w:right w:w="135" w:type="dxa"/>
                              </w:tcMar>
                              <w:hideMark/>
                            </w:tcPr>
                            <w:p w14:paraId="425AF287" w14:textId="422D0FAD" w:rsidR="0000142B" w:rsidRPr="0000142B" w:rsidRDefault="0000142B" w:rsidP="0000142B">
                              <w:pPr>
                                <w:spacing w:after="0" w:line="240" w:lineRule="auto"/>
                              </w:pPr>
                              <w:r w:rsidRPr="0000142B">
                                <w:drawing>
                                  <wp:inline distT="0" distB="0" distL="0" distR="0" wp14:anchorId="31FCC4AB" wp14:editId="21C29DD1">
                                    <wp:extent cx="5372100" cy="336550"/>
                                    <wp:effectExtent l="0" t="0" r="0" b="6350"/>
                                    <wp:docPr id="136630583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8CA51F8" w14:textId="77777777" w:rsidR="0000142B" w:rsidRPr="0000142B" w:rsidRDefault="0000142B" w:rsidP="0000142B">
                        <w:pPr>
                          <w:spacing w:after="0" w:line="240" w:lineRule="auto"/>
                        </w:pPr>
                      </w:p>
                    </w:tc>
                  </w:tr>
                </w:tbl>
                <w:p w14:paraId="390A79D0"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35855F3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20BA331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4C60AA5E" w14:textId="77777777">
                                <w:tc>
                                  <w:tcPr>
                                    <w:tcW w:w="0" w:type="auto"/>
                                    <w:tcMar>
                                      <w:top w:w="0" w:type="dxa"/>
                                      <w:left w:w="270" w:type="dxa"/>
                                      <w:bottom w:w="135" w:type="dxa"/>
                                      <w:right w:w="270" w:type="dxa"/>
                                    </w:tcMar>
                                    <w:hideMark/>
                                  </w:tcPr>
                                  <w:p w14:paraId="61EFECEA" w14:textId="77777777" w:rsidR="0000142B" w:rsidRPr="0000142B" w:rsidRDefault="0000142B" w:rsidP="0000142B">
                                    <w:pPr>
                                      <w:spacing w:after="0" w:line="240" w:lineRule="auto"/>
                                    </w:pPr>
                                    <w:r w:rsidRPr="0000142B">
                                      <w:rPr>
                                        <w:b/>
                                        <w:bCs/>
                                      </w:rPr>
                                      <w:t>This newsletter - sent on Mondays, Wednesdays and Fridays - contains important information and resources to support community pharmacies across England.</w:t>
                                    </w:r>
                                  </w:p>
                                </w:tc>
                              </w:tr>
                            </w:tbl>
                            <w:p w14:paraId="3374BE6D" w14:textId="77777777" w:rsidR="0000142B" w:rsidRPr="0000142B" w:rsidRDefault="0000142B" w:rsidP="0000142B">
                              <w:pPr>
                                <w:spacing w:after="0" w:line="240" w:lineRule="auto"/>
                              </w:pPr>
                            </w:p>
                          </w:tc>
                        </w:tr>
                      </w:tbl>
                      <w:p w14:paraId="2247BF5F" w14:textId="77777777" w:rsidR="0000142B" w:rsidRPr="0000142B" w:rsidRDefault="0000142B" w:rsidP="0000142B">
                        <w:pPr>
                          <w:spacing w:after="0" w:line="240" w:lineRule="auto"/>
                        </w:pPr>
                      </w:p>
                    </w:tc>
                  </w:tr>
                </w:tbl>
                <w:p w14:paraId="58A21080"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10CE2E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66BB9397" w14:textId="77777777">
                          <w:trPr>
                            <w:hidden/>
                          </w:trPr>
                          <w:tc>
                            <w:tcPr>
                              <w:tcW w:w="0" w:type="auto"/>
                              <w:tcBorders>
                                <w:top w:val="single" w:sz="12" w:space="0" w:color="106B62"/>
                                <w:left w:val="nil"/>
                                <w:bottom w:val="nil"/>
                                <w:right w:val="nil"/>
                              </w:tcBorders>
                              <w:vAlign w:val="center"/>
                              <w:hideMark/>
                            </w:tcPr>
                            <w:p w14:paraId="5C5FEAB2" w14:textId="77777777" w:rsidR="0000142B" w:rsidRPr="0000142B" w:rsidRDefault="0000142B" w:rsidP="0000142B">
                              <w:pPr>
                                <w:spacing w:after="0" w:line="240" w:lineRule="auto"/>
                                <w:rPr>
                                  <w:vanish/>
                                </w:rPr>
                              </w:pPr>
                            </w:p>
                          </w:tc>
                        </w:tr>
                      </w:tbl>
                      <w:p w14:paraId="4519FB65" w14:textId="77777777" w:rsidR="0000142B" w:rsidRPr="0000142B" w:rsidRDefault="0000142B" w:rsidP="0000142B">
                        <w:pPr>
                          <w:spacing w:after="0" w:line="240" w:lineRule="auto"/>
                        </w:pPr>
                      </w:p>
                    </w:tc>
                  </w:tr>
                </w:tbl>
                <w:p w14:paraId="50ED0C21"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6319CA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750227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1504BE96" w14:textId="77777777">
                                <w:tc>
                                  <w:tcPr>
                                    <w:tcW w:w="0" w:type="auto"/>
                                    <w:tcMar>
                                      <w:top w:w="0" w:type="dxa"/>
                                      <w:left w:w="270" w:type="dxa"/>
                                      <w:bottom w:w="135" w:type="dxa"/>
                                      <w:right w:w="270" w:type="dxa"/>
                                    </w:tcMar>
                                    <w:hideMark/>
                                  </w:tcPr>
                                  <w:p w14:paraId="30F729A0" w14:textId="77777777" w:rsidR="0000142B" w:rsidRPr="0000142B" w:rsidRDefault="0000142B" w:rsidP="0000142B">
                                    <w:pPr>
                                      <w:spacing w:after="0" w:line="240" w:lineRule="auto"/>
                                      <w:rPr>
                                        <w:b/>
                                        <w:bCs/>
                                      </w:rPr>
                                    </w:pPr>
                                    <w:r w:rsidRPr="0000142B">
                                      <w:rPr>
                                        <w:b/>
                                        <w:bCs/>
                                      </w:rPr>
                                      <w:t xml:space="preserve">In this update: Covid-19 vac compensation </w:t>
                                    </w:r>
                                    <w:proofErr w:type="gramStart"/>
                                    <w:r w:rsidRPr="0000142B">
                                      <w:rPr>
                                        <w:b/>
                                        <w:bCs/>
                                      </w:rPr>
                                      <w:t>claim</w:t>
                                    </w:r>
                                    <w:proofErr w:type="gramEnd"/>
                                    <w:r w:rsidRPr="0000142B">
                                      <w:rPr>
                                        <w:b/>
                                        <w:bCs/>
                                      </w:rPr>
                                      <w:t> for pharmacy owners; Negotiating strategy addressed during September Committee Meeting; Prescription Item Reports; Fire risk with Emollients.</w:t>
                                    </w:r>
                                  </w:p>
                                </w:tc>
                              </w:tr>
                            </w:tbl>
                            <w:p w14:paraId="721043B3" w14:textId="77777777" w:rsidR="0000142B" w:rsidRPr="0000142B" w:rsidRDefault="0000142B" w:rsidP="0000142B">
                              <w:pPr>
                                <w:spacing w:after="0" w:line="240" w:lineRule="auto"/>
                              </w:pPr>
                            </w:p>
                          </w:tc>
                        </w:tr>
                      </w:tbl>
                      <w:p w14:paraId="6EB64FA1" w14:textId="77777777" w:rsidR="0000142B" w:rsidRPr="0000142B" w:rsidRDefault="0000142B" w:rsidP="0000142B">
                        <w:pPr>
                          <w:spacing w:after="0" w:line="240" w:lineRule="auto"/>
                        </w:pPr>
                      </w:p>
                    </w:tc>
                  </w:tr>
                </w:tbl>
                <w:p w14:paraId="6F6B0F99"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171802D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0211F626" w14:textId="77777777">
                          <w:trPr>
                            <w:hidden/>
                          </w:trPr>
                          <w:tc>
                            <w:tcPr>
                              <w:tcW w:w="0" w:type="auto"/>
                              <w:tcBorders>
                                <w:top w:val="single" w:sz="12" w:space="0" w:color="106B62"/>
                                <w:left w:val="nil"/>
                                <w:bottom w:val="nil"/>
                                <w:right w:val="nil"/>
                              </w:tcBorders>
                              <w:vAlign w:val="center"/>
                              <w:hideMark/>
                            </w:tcPr>
                            <w:p w14:paraId="79425DB6" w14:textId="77777777" w:rsidR="0000142B" w:rsidRPr="0000142B" w:rsidRDefault="0000142B" w:rsidP="0000142B">
                              <w:pPr>
                                <w:spacing w:after="0" w:line="240" w:lineRule="auto"/>
                                <w:rPr>
                                  <w:vanish/>
                                </w:rPr>
                              </w:pPr>
                            </w:p>
                          </w:tc>
                        </w:tr>
                      </w:tbl>
                      <w:p w14:paraId="061CB9FE" w14:textId="77777777" w:rsidR="0000142B" w:rsidRPr="0000142B" w:rsidRDefault="0000142B" w:rsidP="0000142B">
                        <w:pPr>
                          <w:spacing w:after="0" w:line="240" w:lineRule="auto"/>
                        </w:pPr>
                      </w:p>
                    </w:tc>
                  </w:tr>
                </w:tbl>
                <w:p w14:paraId="0F32D4F6"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3C1F3C8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142B" w:rsidRPr="0000142B" w14:paraId="7821EDE7" w14:textId="77777777">
                          <w:tc>
                            <w:tcPr>
                              <w:tcW w:w="0" w:type="auto"/>
                              <w:tcMar>
                                <w:top w:w="0" w:type="dxa"/>
                                <w:left w:w="135" w:type="dxa"/>
                                <w:bottom w:w="0" w:type="dxa"/>
                                <w:right w:w="135" w:type="dxa"/>
                              </w:tcMar>
                              <w:hideMark/>
                            </w:tcPr>
                            <w:p w14:paraId="2C208F30" w14:textId="54E2A095" w:rsidR="0000142B" w:rsidRPr="0000142B" w:rsidRDefault="0000142B" w:rsidP="0000142B">
                              <w:pPr>
                                <w:spacing w:after="0" w:line="240" w:lineRule="auto"/>
                              </w:pPr>
                              <w:r w:rsidRPr="0000142B">
                                <w:rPr>
                                  <w:u w:val="single"/>
                                </w:rPr>
                                <w:drawing>
                                  <wp:inline distT="0" distB="0" distL="0" distR="0" wp14:anchorId="4911A531" wp14:editId="5442D259">
                                    <wp:extent cx="5372100" cy="1790700"/>
                                    <wp:effectExtent l="0" t="0" r="0" b="0"/>
                                    <wp:docPr id="274278291" name="Picture 16" descr="A close-up of a sign&#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78291" name="Picture 16" descr="A close-up of a sign&#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8B0A7B9" w14:textId="77777777" w:rsidR="0000142B" w:rsidRPr="0000142B" w:rsidRDefault="0000142B" w:rsidP="0000142B">
                        <w:pPr>
                          <w:spacing w:after="0" w:line="240" w:lineRule="auto"/>
                        </w:pPr>
                      </w:p>
                    </w:tc>
                  </w:tr>
                </w:tbl>
                <w:p w14:paraId="1562A69F"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016C75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0803FBF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5D308DC7" w14:textId="77777777">
                                <w:tc>
                                  <w:tcPr>
                                    <w:tcW w:w="0" w:type="auto"/>
                                    <w:tcMar>
                                      <w:top w:w="0" w:type="dxa"/>
                                      <w:left w:w="270" w:type="dxa"/>
                                      <w:bottom w:w="135" w:type="dxa"/>
                                      <w:right w:w="270" w:type="dxa"/>
                                    </w:tcMar>
                                    <w:hideMark/>
                                  </w:tcPr>
                                  <w:p w14:paraId="049EDA7D" w14:textId="77777777" w:rsidR="0000142B" w:rsidRPr="0000142B" w:rsidRDefault="0000142B" w:rsidP="0000142B">
                                    <w:pPr>
                                      <w:spacing w:after="0" w:line="240" w:lineRule="auto"/>
                                    </w:pPr>
                                    <w:r w:rsidRPr="0000142B">
                                      <w:t xml:space="preserve">As part of ongoing discussions with NHS England about people ineligible for COVID-19 vaccinations presenting at community pharmacies, </w:t>
                                    </w:r>
                                    <w:r w:rsidRPr="0000142B">
                                      <w:rPr>
                                        <w:b/>
                                        <w:bCs/>
                                      </w:rPr>
                                      <w:t>Community Pharmacy England has now written formally to the NHS seeking financial compensation for pharmacy owners.</w:t>
                                    </w:r>
                                    <w:r w:rsidRPr="0000142B">
                                      <w:br/>
                                    </w:r>
                                    <w:r w:rsidRPr="0000142B">
                                      <w:br/>
                                      <w:t xml:space="preserve">We have been in contact with NHS England since the start of the NHS seasonal vaccination service about the ongoing issues pharmacy owners are facing, with ineligible people often presenting via appointments booked through the National Booking System (NBS). These issues have largely been caused by significant changes to COVID-19 vaccination eligibility criteria this winter. </w:t>
                                    </w:r>
                                    <w:hyperlink r:id="rId9" w:tgtFrame="_blank" w:history="1">
                                      <w:r w:rsidRPr="0000142B">
                                        <w:rPr>
                                          <w:rStyle w:val="Hyperlink"/>
                                        </w:rPr>
                                        <w:t>Read more about this here</w:t>
                                      </w:r>
                                    </w:hyperlink>
                                    <w:r w:rsidRPr="0000142B">
                                      <w:t>.</w:t>
                                    </w:r>
                                    <w:r w:rsidRPr="0000142B">
                                      <w:br/>
                                    </w:r>
                                    <w:r w:rsidRPr="0000142B">
                                      <w:br/>
                                      <w:t xml:space="preserve">This has been a deeply frustrating time for pharmacy owners, with knock-on financial impacts and significant challenges for their teams. We have raised concerns about the impact on pharmacy owners and teams, including </w:t>
                                    </w:r>
                                    <w:r w:rsidRPr="0000142B">
                                      <w:rPr>
                                        <w:b/>
                                        <w:bCs/>
                                      </w:rPr>
                                      <w:t xml:space="preserve">administrative burden, financial costs, staff impact, and damage to relations </w:t>
                                    </w:r>
                                    <w:r w:rsidRPr="0000142B">
                                      <w:rPr>
                                        <w:b/>
                                        <w:bCs/>
                                      </w:rPr>
                                      <w:lastRenderedPageBreak/>
                                      <w:t>with the public.</w:t>
                                    </w:r>
                                    <w:r w:rsidRPr="0000142B">
                                      <w:br/>
                                    </w:r>
                                    <w:r w:rsidRPr="0000142B">
                                      <w:br/>
                                      <w:t>After carefully considering several routes for claiming compensation, including gathering more sector data (which would have delayed any claim and added complexity), we have asked NHS England to pay pharmacy owners for any NBS appointments where people were ineligible when they presented at the pharmacy. </w:t>
                                    </w:r>
                                    <w:r w:rsidRPr="0000142B">
                                      <w:br/>
                                    </w:r>
                                    <w:r w:rsidRPr="0000142B">
                                      <w:br/>
                                      <w:t>We await a response from NHS England to this compensation claim.</w:t>
                                    </w:r>
                                    <w:r w:rsidRPr="0000142B">
                                      <w:br/>
                                    </w:r>
                                    <w:r w:rsidRPr="0000142B">
                                      <w:br/>
                                    </w:r>
                                    <w:hyperlink r:id="rId10" w:tgtFrame="_blank" w:history="1">
                                      <w:r w:rsidRPr="0000142B">
                                        <w:rPr>
                                          <w:rStyle w:val="Hyperlink"/>
                                        </w:rPr>
                                        <w:t>Resources, posters, and guidance are available</w:t>
                                      </w:r>
                                    </w:hyperlink>
                                    <w:r w:rsidRPr="0000142B">
                                      <w:t xml:space="preserve"> to help pharmacy teams manage the situation and communicate eligibility changes effectively.</w:t>
                                    </w:r>
                                  </w:p>
                                </w:tc>
                              </w:tr>
                            </w:tbl>
                            <w:p w14:paraId="2ABBF71E" w14:textId="77777777" w:rsidR="0000142B" w:rsidRPr="0000142B" w:rsidRDefault="0000142B" w:rsidP="0000142B">
                              <w:pPr>
                                <w:spacing w:after="0" w:line="240" w:lineRule="auto"/>
                              </w:pPr>
                            </w:p>
                          </w:tc>
                        </w:tr>
                      </w:tbl>
                      <w:p w14:paraId="1BE6D455" w14:textId="77777777" w:rsidR="0000142B" w:rsidRPr="0000142B" w:rsidRDefault="0000142B" w:rsidP="0000142B">
                        <w:pPr>
                          <w:spacing w:after="0" w:line="240" w:lineRule="auto"/>
                        </w:pPr>
                      </w:p>
                    </w:tc>
                  </w:tr>
                </w:tbl>
                <w:p w14:paraId="38F4F604"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5D89478E"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820"/>
                        </w:tblGrid>
                        <w:tr w:rsidR="0000142B" w:rsidRPr="0000142B" w14:paraId="0876391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88EC708" w14:textId="77777777" w:rsidR="0000142B" w:rsidRPr="0000142B" w:rsidRDefault="0000142B" w:rsidP="0000142B">
                              <w:pPr>
                                <w:spacing w:after="0" w:line="240" w:lineRule="auto"/>
                              </w:pPr>
                              <w:hyperlink r:id="rId11" w:tgtFrame="_blank" w:tooltip="Read more, including our CEO's comment" w:history="1">
                                <w:r w:rsidRPr="0000142B">
                                  <w:rPr>
                                    <w:rStyle w:val="Hyperlink"/>
                                    <w:b/>
                                    <w:bCs/>
                                  </w:rPr>
                                  <w:t>Read more, including our CEO's comment</w:t>
                                </w:r>
                              </w:hyperlink>
                              <w:r w:rsidRPr="0000142B">
                                <w:t xml:space="preserve"> </w:t>
                              </w:r>
                            </w:p>
                          </w:tc>
                        </w:tr>
                      </w:tbl>
                      <w:p w14:paraId="3A7960F4" w14:textId="77777777" w:rsidR="0000142B" w:rsidRPr="0000142B" w:rsidRDefault="0000142B" w:rsidP="0000142B">
                        <w:pPr>
                          <w:spacing w:after="0" w:line="240" w:lineRule="auto"/>
                        </w:pPr>
                      </w:p>
                    </w:tc>
                  </w:tr>
                </w:tbl>
                <w:p w14:paraId="768B0765"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77BADF4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12CC903F" w14:textId="77777777">
                          <w:trPr>
                            <w:hidden/>
                          </w:trPr>
                          <w:tc>
                            <w:tcPr>
                              <w:tcW w:w="0" w:type="auto"/>
                              <w:tcBorders>
                                <w:top w:val="single" w:sz="12" w:space="0" w:color="106B62"/>
                                <w:left w:val="nil"/>
                                <w:bottom w:val="nil"/>
                                <w:right w:val="nil"/>
                              </w:tcBorders>
                              <w:vAlign w:val="center"/>
                              <w:hideMark/>
                            </w:tcPr>
                            <w:p w14:paraId="4EA7B4B6" w14:textId="77777777" w:rsidR="0000142B" w:rsidRPr="0000142B" w:rsidRDefault="0000142B" w:rsidP="0000142B">
                              <w:pPr>
                                <w:spacing w:after="0" w:line="240" w:lineRule="auto"/>
                                <w:rPr>
                                  <w:vanish/>
                                </w:rPr>
                              </w:pPr>
                            </w:p>
                          </w:tc>
                        </w:tr>
                      </w:tbl>
                      <w:p w14:paraId="4CC68A77" w14:textId="77777777" w:rsidR="0000142B" w:rsidRPr="0000142B" w:rsidRDefault="0000142B" w:rsidP="0000142B">
                        <w:pPr>
                          <w:spacing w:after="0" w:line="240" w:lineRule="auto"/>
                        </w:pPr>
                      </w:p>
                    </w:tc>
                  </w:tr>
                </w:tbl>
                <w:p w14:paraId="571598A3"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4F0022A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142B" w:rsidRPr="0000142B" w14:paraId="3CA2E77A" w14:textId="77777777">
                          <w:tc>
                            <w:tcPr>
                              <w:tcW w:w="0" w:type="auto"/>
                              <w:tcMar>
                                <w:top w:w="0" w:type="dxa"/>
                                <w:left w:w="135" w:type="dxa"/>
                                <w:bottom w:w="0" w:type="dxa"/>
                                <w:right w:w="135" w:type="dxa"/>
                              </w:tcMar>
                              <w:hideMark/>
                            </w:tcPr>
                            <w:p w14:paraId="728D953B" w14:textId="49CC00D5" w:rsidR="0000142B" w:rsidRPr="0000142B" w:rsidRDefault="0000142B" w:rsidP="0000142B">
                              <w:pPr>
                                <w:spacing w:after="0" w:line="240" w:lineRule="auto"/>
                              </w:pPr>
                              <w:r w:rsidRPr="0000142B">
                                <w:drawing>
                                  <wp:inline distT="0" distB="0" distL="0" distR="0" wp14:anchorId="44FB372C" wp14:editId="4ACA76F8">
                                    <wp:extent cx="5372100" cy="1790700"/>
                                    <wp:effectExtent l="0" t="0" r="0" b="0"/>
                                    <wp:docPr id="694083024" name="Picture 15" descr="A green background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83024" name="Picture 15" descr="A green background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09714A7" w14:textId="77777777" w:rsidR="0000142B" w:rsidRPr="0000142B" w:rsidRDefault="0000142B" w:rsidP="0000142B">
                        <w:pPr>
                          <w:spacing w:after="0" w:line="240" w:lineRule="auto"/>
                        </w:pPr>
                      </w:p>
                    </w:tc>
                  </w:tr>
                </w:tbl>
                <w:p w14:paraId="533D8421"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03E2A32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21FBB73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5BAF9091" w14:textId="77777777">
                                <w:tc>
                                  <w:tcPr>
                                    <w:tcW w:w="0" w:type="auto"/>
                                    <w:tcMar>
                                      <w:top w:w="0" w:type="dxa"/>
                                      <w:left w:w="270" w:type="dxa"/>
                                      <w:bottom w:w="135" w:type="dxa"/>
                                      <w:right w:w="270" w:type="dxa"/>
                                    </w:tcMar>
                                    <w:hideMark/>
                                  </w:tcPr>
                                  <w:p w14:paraId="7A02D9AD" w14:textId="77777777" w:rsidR="0000142B" w:rsidRPr="0000142B" w:rsidRDefault="0000142B" w:rsidP="0000142B">
                                    <w:pPr>
                                      <w:spacing w:after="0" w:line="240" w:lineRule="auto"/>
                                    </w:pPr>
                                    <w:r w:rsidRPr="0000142B">
                                      <w:t>Community Pharmacy England met in London in September, with Members considering strategy and tactics ahead of upcoming CPCF negotiations, alongside other important matters.</w:t>
                                    </w:r>
                                    <w:r w:rsidRPr="0000142B">
                                      <w:br/>
                                      <w:t> </w:t>
                                    </w:r>
                                  </w:p>
                                  <w:p w14:paraId="5A65AD12" w14:textId="77777777" w:rsidR="0000142B" w:rsidRPr="0000142B" w:rsidRDefault="0000142B" w:rsidP="0000142B">
                                    <w:pPr>
                                      <w:spacing w:after="0" w:line="240" w:lineRule="auto"/>
                                    </w:pPr>
                                    <w:r w:rsidRPr="0000142B">
                                      <w:t>The Committee also discussed how recent political developments, such as the Government Spending Review and 10-Year Health Plan, may affect the next round of CPCF negotiations.</w:t>
                                    </w:r>
                                    <w:r w:rsidRPr="0000142B">
                                      <w:br/>
                                      <w:t> </w:t>
                                    </w:r>
                                  </w:p>
                                  <w:p w14:paraId="09AD62AF" w14:textId="77777777" w:rsidR="0000142B" w:rsidRPr="0000142B" w:rsidRDefault="0000142B" w:rsidP="0000142B">
                                    <w:pPr>
                                      <w:spacing w:after="0" w:line="240" w:lineRule="auto"/>
                                    </w:pPr>
                                    <w:r w:rsidRPr="0000142B">
                                      <w:t xml:space="preserve">This was the first meeting for the new non-executive Chair, </w:t>
                                    </w:r>
                                    <w:hyperlink r:id="rId14" w:tgtFrame="_blank" w:history="1">
                                      <w:r w:rsidRPr="0000142B">
                                        <w:rPr>
                                          <w:rStyle w:val="Hyperlink"/>
                                        </w:rPr>
                                        <w:t>Professor Dame Jenny Harries DBE DL</w:t>
                                      </w:r>
                                    </w:hyperlink>
                                    <w:r w:rsidRPr="0000142B">
                                      <w:t>. Committee members and the Executive Team look forward to drawing on her extensive experience as former Deputy Chief Medical Officer for England and founding CEO of the UK Health Security Agency to help secure a sustainable future for community pharmacy.</w:t>
                                    </w:r>
                                  </w:p>
                                </w:tc>
                              </w:tr>
                            </w:tbl>
                            <w:p w14:paraId="7949DEF8" w14:textId="77777777" w:rsidR="0000142B" w:rsidRPr="0000142B" w:rsidRDefault="0000142B" w:rsidP="0000142B">
                              <w:pPr>
                                <w:spacing w:after="0" w:line="240" w:lineRule="auto"/>
                              </w:pPr>
                            </w:p>
                          </w:tc>
                        </w:tr>
                      </w:tbl>
                      <w:p w14:paraId="50AFD09B" w14:textId="77777777" w:rsidR="0000142B" w:rsidRPr="0000142B" w:rsidRDefault="0000142B" w:rsidP="0000142B">
                        <w:pPr>
                          <w:spacing w:after="0" w:line="240" w:lineRule="auto"/>
                        </w:pPr>
                      </w:p>
                    </w:tc>
                  </w:tr>
                </w:tbl>
                <w:p w14:paraId="289AB929"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715C6E6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493"/>
                        </w:tblGrid>
                        <w:tr w:rsidR="0000142B" w:rsidRPr="0000142B" w14:paraId="624A0DB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2BE1C21" w14:textId="77777777" w:rsidR="0000142B" w:rsidRPr="0000142B" w:rsidRDefault="0000142B" w:rsidP="0000142B">
                              <w:pPr>
                                <w:spacing w:after="0" w:line="240" w:lineRule="auto"/>
                              </w:pPr>
                              <w:hyperlink r:id="rId15" w:tgtFrame="_blank" w:tooltip="Read the full update" w:history="1">
                                <w:r w:rsidRPr="0000142B">
                                  <w:rPr>
                                    <w:rStyle w:val="Hyperlink"/>
                                    <w:b/>
                                    <w:bCs/>
                                  </w:rPr>
                                  <w:t>Read the full update</w:t>
                                </w:r>
                              </w:hyperlink>
                              <w:r w:rsidRPr="0000142B">
                                <w:t xml:space="preserve"> </w:t>
                              </w:r>
                            </w:p>
                          </w:tc>
                        </w:tr>
                      </w:tbl>
                      <w:p w14:paraId="4DFCABEC" w14:textId="77777777" w:rsidR="0000142B" w:rsidRPr="0000142B" w:rsidRDefault="0000142B" w:rsidP="0000142B">
                        <w:pPr>
                          <w:spacing w:after="0" w:line="240" w:lineRule="auto"/>
                        </w:pPr>
                      </w:p>
                    </w:tc>
                  </w:tr>
                </w:tbl>
                <w:p w14:paraId="02042DF4"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3CD2838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089264F5" w14:textId="77777777">
                          <w:trPr>
                            <w:hidden/>
                          </w:trPr>
                          <w:tc>
                            <w:tcPr>
                              <w:tcW w:w="0" w:type="auto"/>
                              <w:tcBorders>
                                <w:top w:val="single" w:sz="12" w:space="0" w:color="106B62"/>
                                <w:left w:val="nil"/>
                                <w:bottom w:val="nil"/>
                                <w:right w:val="nil"/>
                              </w:tcBorders>
                              <w:vAlign w:val="center"/>
                              <w:hideMark/>
                            </w:tcPr>
                            <w:p w14:paraId="75639685" w14:textId="77777777" w:rsidR="0000142B" w:rsidRPr="0000142B" w:rsidRDefault="0000142B" w:rsidP="0000142B">
                              <w:pPr>
                                <w:spacing w:after="0" w:line="240" w:lineRule="auto"/>
                                <w:rPr>
                                  <w:vanish/>
                                </w:rPr>
                              </w:pPr>
                            </w:p>
                          </w:tc>
                        </w:tr>
                      </w:tbl>
                      <w:p w14:paraId="7337C020" w14:textId="77777777" w:rsidR="0000142B" w:rsidRPr="0000142B" w:rsidRDefault="0000142B" w:rsidP="0000142B">
                        <w:pPr>
                          <w:spacing w:after="0" w:line="240" w:lineRule="auto"/>
                        </w:pPr>
                      </w:p>
                    </w:tc>
                  </w:tr>
                </w:tbl>
                <w:p w14:paraId="730C040A"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1DA877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6BBC3F35"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6343208F" w14:textId="77777777">
                                <w:tc>
                                  <w:tcPr>
                                    <w:tcW w:w="0" w:type="auto"/>
                                    <w:tcMar>
                                      <w:top w:w="0" w:type="dxa"/>
                                      <w:left w:w="270" w:type="dxa"/>
                                      <w:bottom w:w="135" w:type="dxa"/>
                                      <w:right w:w="270" w:type="dxa"/>
                                    </w:tcMar>
                                    <w:hideMark/>
                                  </w:tcPr>
                                  <w:p w14:paraId="2F03F077" w14:textId="77777777" w:rsidR="0000142B" w:rsidRPr="0000142B" w:rsidRDefault="0000142B" w:rsidP="0000142B">
                                    <w:pPr>
                                      <w:spacing w:after="0" w:line="240" w:lineRule="auto"/>
                                      <w:rPr>
                                        <w:b/>
                                        <w:bCs/>
                                      </w:rPr>
                                    </w:pPr>
                                    <w:r w:rsidRPr="0000142B">
                                      <w:rPr>
                                        <w:rFonts w:ascii="Segoe UI Emoji" w:hAnsi="Segoe UI Emoji" w:cs="Segoe UI Emoji"/>
                                        <w:b/>
                                        <w:bCs/>
                                      </w:rPr>
                                      <w:lastRenderedPageBreak/>
                                      <w:t>🔔</w:t>
                                    </w:r>
                                    <w:r w:rsidRPr="0000142B">
                                      <w:rPr>
                                        <w:b/>
                                        <w:bCs/>
                                      </w:rPr>
                                      <w:t>Reminder: Prescription Item Reports: Your monthly breakdown of NHS payments</w:t>
                                    </w:r>
                                  </w:p>
                                  <w:p w14:paraId="452CD062" w14:textId="77777777" w:rsidR="0000142B" w:rsidRPr="0000142B" w:rsidRDefault="0000142B" w:rsidP="0000142B">
                                    <w:pPr>
                                      <w:spacing w:after="0" w:line="240" w:lineRule="auto"/>
                                    </w:pPr>
                                    <w:r w:rsidRPr="0000142B">
                                      <w:t xml:space="preserve">Pharmacy owners are reminded that they can download their monthly </w:t>
                                    </w:r>
                                    <w:hyperlink r:id="rId16" w:tgtFrame="_blank" w:history="1">
                                      <w:r w:rsidRPr="0000142B">
                                        <w:rPr>
                                          <w:rStyle w:val="Hyperlink"/>
                                        </w:rPr>
                                        <w:t>Prescription Item Reports (PIRs)</w:t>
                                      </w:r>
                                    </w:hyperlink>
                                    <w:r w:rsidRPr="0000142B">
                                      <w:t xml:space="preserve"> from the NHS Business Services Authority (NHSBSA) </w:t>
                                    </w:r>
                                    <w:hyperlink r:id="rId17" w:tgtFrame="_blank" w:history="1">
                                      <w:r w:rsidRPr="0000142B">
                                        <w:rPr>
                                          <w:rStyle w:val="Hyperlink"/>
                                        </w:rPr>
                                        <w:t>Information Services Portal</w:t>
                                      </w:r>
                                    </w:hyperlink>
                                    <w:r w:rsidRPr="0000142B">
                                      <w:t>. These reports provide a detailed breakdown of NHS payments for dispensed items and certain services, helping pharmacies monitor claims, identify discrepancies, and support staff training.</w:t>
                                    </w:r>
                                    <w:r w:rsidRPr="0000142B">
                                      <w:br/>
                                    </w:r>
                                    <w:r w:rsidRPr="0000142B">
                                      <w:br/>
                                      <w:t>Only the last 12 months of reports are stored, so it’s important to download them regularly to maintain a complete record. Community Pharmacy England supports further enhancement of the PIR.</w:t>
                                    </w:r>
                                    <w:r w:rsidRPr="0000142B">
                                      <w:br/>
                                    </w:r>
                                    <w:r w:rsidRPr="0000142B">
                                      <w:br/>
                                    </w:r>
                                    <w:r w:rsidRPr="0000142B">
                                      <w:rPr>
                                        <w:rFonts w:ascii="Segoe UI Emoji" w:hAnsi="Segoe UI Emoji" w:cs="Segoe UI Emoji"/>
                                      </w:rPr>
                                      <w:t>🔗</w:t>
                                    </w:r>
                                    <w:hyperlink r:id="rId18" w:tgtFrame="_blank" w:history="1">
                                      <w:r w:rsidRPr="0000142B">
                                        <w:rPr>
                                          <w:rStyle w:val="Hyperlink"/>
                                          <w:b/>
                                          <w:bCs/>
                                        </w:rPr>
                                        <w:t>Find out more and access guidance here</w:t>
                                      </w:r>
                                    </w:hyperlink>
                                  </w:p>
                                </w:tc>
                              </w:tr>
                            </w:tbl>
                            <w:p w14:paraId="2144E970" w14:textId="77777777" w:rsidR="0000142B" w:rsidRPr="0000142B" w:rsidRDefault="0000142B" w:rsidP="0000142B">
                              <w:pPr>
                                <w:spacing w:after="0" w:line="240" w:lineRule="auto"/>
                              </w:pPr>
                            </w:p>
                          </w:tc>
                        </w:tr>
                      </w:tbl>
                      <w:p w14:paraId="2FD1C612" w14:textId="77777777" w:rsidR="0000142B" w:rsidRPr="0000142B" w:rsidRDefault="0000142B" w:rsidP="0000142B">
                        <w:pPr>
                          <w:spacing w:after="0" w:line="240" w:lineRule="auto"/>
                        </w:pPr>
                      </w:p>
                    </w:tc>
                  </w:tr>
                </w:tbl>
                <w:p w14:paraId="62ED3299"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698EFCE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62E89E92" w14:textId="77777777">
                          <w:trPr>
                            <w:hidden/>
                          </w:trPr>
                          <w:tc>
                            <w:tcPr>
                              <w:tcW w:w="0" w:type="auto"/>
                              <w:tcBorders>
                                <w:top w:val="single" w:sz="12" w:space="0" w:color="106B62"/>
                                <w:left w:val="nil"/>
                                <w:bottom w:val="nil"/>
                                <w:right w:val="nil"/>
                              </w:tcBorders>
                              <w:vAlign w:val="center"/>
                              <w:hideMark/>
                            </w:tcPr>
                            <w:p w14:paraId="40BB0CD8" w14:textId="77777777" w:rsidR="0000142B" w:rsidRPr="0000142B" w:rsidRDefault="0000142B" w:rsidP="0000142B">
                              <w:pPr>
                                <w:spacing w:after="0" w:line="240" w:lineRule="auto"/>
                                <w:rPr>
                                  <w:vanish/>
                                </w:rPr>
                              </w:pPr>
                            </w:p>
                          </w:tc>
                        </w:tr>
                      </w:tbl>
                      <w:p w14:paraId="11183AA8" w14:textId="77777777" w:rsidR="0000142B" w:rsidRPr="0000142B" w:rsidRDefault="0000142B" w:rsidP="0000142B">
                        <w:pPr>
                          <w:spacing w:after="0" w:line="240" w:lineRule="auto"/>
                        </w:pPr>
                      </w:p>
                    </w:tc>
                  </w:tr>
                </w:tbl>
                <w:p w14:paraId="2D89C4EC"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3531BE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09A0AC6A"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2C2F891F" w14:textId="77777777">
                                <w:tc>
                                  <w:tcPr>
                                    <w:tcW w:w="0" w:type="auto"/>
                                    <w:tcMar>
                                      <w:top w:w="0" w:type="dxa"/>
                                      <w:left w:w="270" w:type="dxa"/>
                                      <w:bottom w:w="135" w:type="dxa"/>
                                      <w:right w:w="270" w:type="dxa"/>
                                    </w:tcMar>
                                    <w:hideMark/>
                                  </w:tcPr>
                                  <w:p w14:paraId="19546DC0" w14:textId="77777777" w:rsidR="0000142B" w:rsidRPr="0000142B" w:rsidRDefault="0000142B" w:rsidP="0000142B">
                                    <w:pPr>
                                      <w:spacing w:after="0" w:line="240" w:lineRule="auto"/>
                                      <w:rPr>
                                        <w:b/>
                                        <w:bCs/>
                                      </w:rPr>
                                    </w:pPr>
                                    <w:r w:rsidRPr="0000142B">
                                      <w:rPr>
                                        <w:rFonts w:ascii="Segoe UI Emoji" w:hAnsi="Segoe UI Emoji" w:cs="Segoe UI Emoji"/>
                                        <w:b/>
                                        <w:bCs/>
                                      </w:rPr>
                                      <w:t>📌</w:t>
                                    </w:r>
                                    <w:r w:rsidRPr="0000142B">
                                      <w:rPr>
                                        <w:b/>
                                        <w:bCs/>
                                      </w:rPr>
                                      <w:t>Emollients: risk of severe and fatal burns with paraffin-containing and paraffin-free emollients</w:t>
                                    </w:r>
                                  </w:p>
                                  <w:p w14:paraId="57031453" w14:textId="77777777" w:rsidR="0000142B" w:rsidRPr="0000142B" w:rsidRDefault="0000142B" w:rsidP="0000142B">
                                    <w:pPr>
                                      <w:spacing w:after="0" w:line="240" w:lineRule="auto"/>
                                    </w:pPr>
                                    <w:r w:rsidRPr="0000142B">
                                      <w:t xml:space="preserve">Pharmacy teams are reminded of the ongoing fire risk linked to both paraffin-containing and paraffin-free emollients. This risk has been highlighted in past Medicines and Healthcare products Regulatory Agency (MHRA) campaigns, and teams should continue advising patients accordingly. Safety resources and patient materials are available on the </w:t>
                                    </w:r>
                                    <w:hyperlink r:id="rId19" w:tgtFrame="_blank" w:history="1">
                                      <w:r w:rsidRPr="0000142B">
                                        <w:rPr>
                                          <w:rStyle w:val="Hyperlink"/>
                                        </w:rPr>
                                        <w:t>GOV.UK</w:t>
                                      </w:r>
                                    </w:hyperlink>
                                    <w:r w:rsidRPr="0000142B">
                                      <w:t xml:space="preserve"> website.</w:t>
                                    </w:r>
                                    <w:r w:rsidRPr="0000142B">
                                      <w:br/>
                                    </w:r>
                                    <w:r w:rsidRPr="0000142B">
                                      <w:br/>
                                    </w:r>
                                    <w:hyperlink r:id="rId20" w:tgtFrame="_blank" w:history="1">
                                      <w:r w:rsidRPr="0000142B">
                                        <w:rPr>
                                          <w:rStyle w:val="Hyperlink"/>
                                          <w:b/>
                                          <w:bCs/>
                                        </w:rPr>
                                        <w:t>Tell me more</w:t>
                                      </w:r>
                                    </w:hyperlink>
                                  </w:p>
                                </w:tc>
                              </w:tr>
                            </w:tbl>
                            <w:p w14:paraId="36AC435A" w14:textId="77777777" w:rsidR="0000142B" w:rsidRPr="0000142B" w:rsidRDefault="0000142B" w:rsidP="0000142B">
                              <w:pPr>
                                <w:spacing w:after="0" w:line="240" w:lineRule="auto"/>
                              </w:pPr>
                            </w:p>
                          </w:tc>
                        </w:tr>
                      </w:tbl>
                      <w:p w14:paraId="74031461" w14:textId="77777777" w:rsidR="0000142B" w:rsidRPr="0000142B" w:rsidRDefault="0000142B" w:rsidP="0000142B">
                        <w:pPr>
                          <w:spacing w:after="0" w:line="240" w:lineRule="auto"/>
                        </w:pPr>
                      </w:p>
                    </w:tc>
                  </w:tr>
                </w:tbl>
                <w:p w14:paraId="5055F462"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16823D8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213A2106" w14:textId="77777777">
                          <w:trPr>
                            <w:hidden/>
                          </w:trPr>
                          <w:tc>
                            <w:tcPr>
                              <w:tcW w:w="0" w:type="auto"/>
                              <w:tcBorders>
                                <w:top w:val="single" w:sz="12" w:space="0" w:color="106B62"/>
                                <w:left w:val="nil"/>
                                <w:bottom w:val="nil"/>
                                <w:right w:val="nil"/>
                              </w:tcBorders>
                              <w:vAlign w:val="center"/>
                              <w:hideMark/>
                            </w:tcPr>
                            <w:p w14:paraId="0C8D3BC1" w14:textId="77777777" w:rsidR="0000142B" w:rsidRPr="0000142B" w:rsidRDefault="0000142B" w:rsidP="0000142B">
                              <w:pPr>
                                <w:spacing w:after="0" w:line="240" w:lineRule="auto"/>
                                <w:rPr>
                                  <w:vanish/>
                                </w:rPr>
                              </w:pPr>
                            </w:p>
                          </w:tc>
                        </w:tr>
                      </w:tbl>
                      <w:p w14:paraId="4E11A8B6" w14:textId="77777777" w:rsidR="0000142B" w:rsidRPr="0000142B" w:rsidRDefault="0000142B" w:rsidP="0000142B">
                        <w:pPr>
                          <w:spacing w:after="0" w:line="240" w:lineRule="auto"/>
                        </w:pPr>
                      </w:p>
                    </w:tc>
                  </w:tr>
                </w:tbl>
                <w:p w14:paraId="1D7F8E6F"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19C423E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142B" w:rsidRPr="0000142B" w14:paraId="16B8A5C9" w14:textId="77777777">
                          <w:tc>
                            <w:tcPr>
                              <w:tcW w:w="0" w:type="auto"/>
                              <w:tcMar>
                                <w:top w:w="0" w:type="dxa"/>
                                <w:left w:w="135" w:type="dxa"/>
                                <w:bottom w:w="0" w:type="dxa"/>
                                <w:right w:w="135" w:type="dxa"/>
                              </w:tcMar>
                              <w:hideMark/>
                            </w:tcPr>
                            <w:p w14:paraId="4187EDC0" w14:textId="602EE4F5" w:rsidR="0000142B" w:rsidRPr="0000142B" w:rsidRDefault="0000142B" w:rsidP="0000142B">
                              <w:pPr>
                                <w:spacing w:after="0" w:line="240" w:lineRule="auto"/>
                              </w:pPr>
                              <w:r w:rsidRPr="0000142B">
                                <w:drawing>
                                  <wp:inline distT="0" distB="0" distL="0" distR="0" wp14:anchorId="74805BD0" wp14:editId="0D71C212">
                                    <wp:extent cx="5372100" cy="838200"/>
                                    <wp:effectExtent l="0" t="0" r="0" b="0"/>
                                    <wp:docPr id="488879752" name="Picture 14"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4BCCAFD" w14:textId="77777777" w:rsidR="0000142B" w:rsidRPr="0000142B" w:rsidRDefault="0000142B" w:rsidP="0000142B">
                        <w:pPr>
                          <w:spacing w:after="0" w:line="240" w:lineRule="auto"/>
                        </w:pPr>
                      </w:p>
                    </w:tc>
                  </w:tr>
                </w:tbl>
                <w:p w14:paraId="14A12BA8"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1A2F5F1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142B" w:rsidRPr="0000142B" w14:paraId="5F4C2348" w14:textId="77777777">
                          <w:trPr>
                            <w:hidden/>
                          </w:trPr>
                          <w:tc>
                            <w:tcPr>
                              <w:tcW w:w="0" w:type="auto"/>
                              <w:tcBorders>
                                <w:top w:val="single" w:sz="12" w:space="0" w:color="106B62"/>
                                <w:left w:val="nil"/>
                                <w:bottom w:val="nil"/>
                                <w:right w:val="nil"/>
                              </w:tcBorders>
                              <w:vAlign w:val="center"/>
                              <w:hideMark/>
                            </w:tcPr>
                            <w:p w14:paraId="0614995C" w14:textId="77777777" w:rsidR="0000142B" w:rsidRPr="0000142B" w:rsidRDefault="0000142B" w:rsidP="0000142B">
                              <w:pPr>
                                <w:spacing w:after="0" w:line="240" w:lineRule="auto"/>
                                <w:rPr>
                                  <w:vanish/>
                                </w:rPr>
                              </w:pPr>
                            </w:p>
                          </w:tc>
                        </w:tr>
                      </w:tbl>
                      <w:p w14:paraId="06F2583A" w14:textId="77777777" w:rsidR="0000142B" w:rsidRPr="0000142B" w:rsidRDefault="0000142B" w:rsidP="0000142B">
                        <w:pPr>
                          <w:spacing w:after="0" w:line="240" w:lineRule="auto"/>
                        </w:pPr>
                      </w:p>
                    </w:tc>
                  </w:tr>
                </w:tbl>
                <w:p w14:paraId="265FF423" w14:textId="77777777" w:rsidR="0000142B" w:rsidRPr="0000142B" w:rsidRDefault="0000142B" w:rsidP="0000142B">
                  <w:pPr>
                    <w:spacing w:after="0" w:line="240" w:lineRule="auto"/>
                  </w:pPr>
                </w:p>
              </w:tc>
            </w:tr>
            <w:tr w:rsidR="0000142B" w:rsidRPr="0000142B" w14:paraId="0521C8E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0142B" w:rsidRPr="0000142B" w14:paraId="5E9E8FA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0142B" w:rsidRPr="0000142B" w14:paraId="7954F57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0142B" w:rsidRPr="0000142B" w14:paraId="5C42428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0142B" w:rsidRPr="0000142B" w14:paraId="368D16B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0142B" w:rsidRPr="0000142B" w14:paraId="02E89E9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0142B" w:rsidRPr="0000142B" w14:paraId="38EF7D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142B" w:rsidRPr="0000142B" w14:paraId="3322572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142B" w:rsidRPr="0000142B" w14:paraId="6817CB8A" w14:textId="77777777">
                                                              <w:tc>
                                                                <w:tcPr>
                                                                  <w:tcW w:w="360" w:type="dxa"/>
                                                                  <w:vAlign w:val="center"/>
                                                                  <w:hideMark/>
                                                                </w:tcPr>
                                                                <w:p w14:paraId="20EE113B" w14:textId="35D965D5" w:rsidR="0000142B" w:rsidRPr="0000142B" w:rsidRDefault="0000142B" w:rsidP="0000142B">
                                                                  <w:pPr>
                                                                    <w:spacing w:after="0" w:line="240" w:lineRule="auto"/>
                                                                  </w:pPr>
                                                                  <w:r w:rsidRPr="0000142B">
                                                                    <w:rPr>
                                                                      <w:u w:val="single"/>
                                                                    </w:rPr>
                                                                    <w:lastRenderedPageBreak/>
                                                                    <w:drawing>
                                                                      <wp:inline distT="0" distB="0" distL="0" distR="0" wp14:anchorId="7B4F29AE" wp14:editId="2CC5A861">
                                                                        <wp:extent cx="228600" cy="228600"/>
                                                                        <wp:effectExtent l="0" t="0" r="0" b="0"/>
                                                                        <wp:docPr id="1666373585" name="Picture 13"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E8556E" w14:textId="77777777" w:rsidR="0000142B" w:rsidRPr="0000142B" w:rsidRDefault="0000142B" w:rsidP="0000142B">
                                                            <w:pPr>
                                                              <w:spacing w:after="0" w:line="240" w:lineRule="auto"/>
                                                            </w:pPr>
                                                          </w:p>
                                                        </w:tc>
                                                      </w:tr>
                                                    </w:tbl>
                                                    <w:p w14:paraId="4776F05A" w14:textId="77777777" w:rsidR="0000142B" w:rsidRPr="0000142B" w:rsidRDefault="0000142B" w:rsidP="0000142B">
                                                      <w:pPr>
                                                        <w:spacing w:after="0" w:line="240" w:lineRule="auto"/>
                                                      </w:pPr>
                                                    </w:p>
                                                  </w:tc>
                                                </w:tr>
                                              </w:tbl>
                                              <w:p w14:paraId="56AD3717" w14:textId="77777777" w:rsidR="0000142B" w:rsidRPr="0000142B" w:rsidRDefault="0000142B" w:rsidP="0000142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0142B" w:rsidRPr="0000142B" w14:paraId="2B31C1F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142B" w:rsidRPr="0000142B" w14:paraId="7BB07E2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142B" w:rsidRPr="0000142B" w14:paraId="53CEFBBE" w14:textId="77777777">
                                                              <w:tc>
                                                                <w:tcPr>
                                                                  <w:tcW w:w="360" w:type="dxa"/>
                                                                  <w:vAlign w:val="center"/>
                                                                  <w:hideMark/>
                                                                </w:tcPr>
                                                                <w:p w14:paraId="4E2746AB" w14:textId="070F5C1F" w:rsidR="0000142B" w:rsidRPr="0000142B" w:rsidRDefault="0000142B" w:rsidP="0000142B">
                                                                  <w:pPr>
                                                                    <w:spacing w:after="0" w:line="240" w:lineRule="auto"/>
                                                                  </w:pPr>
                                                                  <w:r w:rsidRPr="0000142B">
                                                                    <w:rPr>
                                                                      <w:u w:val="single"/>
                                                                    </w:rPr>
                                                                    <w:drawing>
                                                                      <wp:inline distT="0" distB="0" distL="0" distR="0" wp14:anchorId="26FEE070" wp14:editId="640DF8D1">
                                                                        <wp:extent cx="228600" cy="228600"/>
                                                                        <wp:effectExtent l="0" t="0" r="0" b="0"/>
                                                                        <wp:docPr id="2049587326" name="Picture 12"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69C77E6" w14:textId="77777777" w:rsidR="0000142B" w:rsidRPr="0000142B" w:rsidRDefault="0000142B" w:rsidP="0000142B">
                                                            <w:pPr>
                                                              <w:spacing w:after="0" w:line="240" w:lineRule="auto"/>
                                                            </w:pPr>
                                                          </w:p>
                                                        </w:tc>
                                                      </w:tr>
                                                    </w:tbl>
                                                    <w:p w14:paraId="3CE4A8F0" w14:textId="77777777" w:rsidR="0000142B" w:rsidRPr="0000142B" w:rsidRDefault="0000142B" w:rsidP="0000142B">
                                                      <w:pPr>
                                                        <w:spacing w:after="0" w:line="240" w:lineRule="auto"/>
                                                      </w:pPr>
                                                    </w:p>
                                                  </w:tc>
                                                </w:tr>
                                              </w:tbl>
                                              <w:p w14:paraId="2EEA5B0C" w14:textId="77777777" w:rsidR="0000142B" w:rsidRPr="0000142B" w:rsidRDefault="0000142B" w:rsidP="0000142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0142B" w:rsidRPr="0000142B" w14:paraId="1AA417A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142B" w:rsidRPr="0000142B" w14:paraId="249C85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142B" w:rsidRPr="0000142B" w14:paraId="5CA87249" w14:textId="77777777">
                                                              <w:tc>
                                                                <w:tcPr>
                                                                  <w:tcW w:w="360" w:type="dxa"/>
                                                                  <w:vAlign w:val="center"/>
                                                                  <w:hideMark/>
                                                                </w:tcPr>
                                                                <w:p w14:paraId="6FB3B80B" w14:textId="79B95B9D" w:rsidR="0000142B" w:rsidRPr="0000142B" w:rsidRDefault="0000142B" w:rsidP="0000142B">
                                                                  <w:pPr>
                                                                    <w:spacing w:after="0" w:line="240" w:lineRule="auto"/>
                                                                  </w:pPr>
                                                                  <w:r w:rsidRPr="0000142B">
                                                                    <w:rPr>
                                                                      <w:u w:val="single"/>
                                                                    </w:rPr>
                                                                    <w:drawing>
                                                                      <wp:inline distT="0" distB="0" distL="0" distR="0" wp14:anchorId="1AF4F5A4" wp14:editId="25F9C2F8">
                                                                        <wp:extent cx="228600" cy="228600"/>
                                                                        <wp:effectExtent l="0" t="0" r="0" b="0"/>
                                                                        <wp:docPr id="890870391" name="Picture 1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3530C3" w14:textId="77777777" w:rsidR="0000142B" w:rsidRPr="0000142B" w:rsidRDefault="0000142B" w:rsidP="0000142B">
                                                            <w:pPr>
                                                              <w:spacing w:after="0" w:line="240" w:lineRule="auto"/>
                                                            </w:pPr>
                                                          </w:p>
                                                        </w:tc>
                                                      </w:tr>
                                                    </w:tbl>
                                                    <w:p w14:paraId="23B2BA5C" w14:textId="77777777" w:rsidR="0000142B" w:rsidRPr="0000142B" w:rsidRDefault="0000142B" w:rsidP="0000142B">
                                                      <w:pPr>
                                                        <w:spacing w:after="0" w:line="240" w:lineRule="auto"/>
                                                      </w:pPr>
                                                    </w:p>
                                                  </w:tc>
                                                </w:tr>
                                              </w:tbl>
                                              <w:p w14:paraId="242CB019" w14:textId="77777777" w:rsidR="0000142B" w:rsidRPr="0000142B" w:rsidRDefault="0000142B" w:rsidP="0000142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0142B" w:rsidRPr="0000142B" w14:paraId="4128684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0142B" w:rsidRPr="0000142B" w14:paraId="1F3F3BF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142B" w:rsidRPr="0000142B" w14:paraId="1877DDD2" w14:textId="77777777">
                                                              <w:tc>
                                                                <w:tcPr>
                                                                  <w:tcW w:w="360" w:type="dxa"/>
                                                                  <w:vAlign w:val="center"/>
                                                                  <w:hideMark/>
                                                                </w:tcPr>
                                                                <w:p w14:paraId="616C72AA" w14:textId="6EB94FC1" w:rsidR="0000142B" w:rsidRPr="0000142B" w:rsidRDefault="0000142B" w:rsidP="0000142B">
                                                                  <w:pPr>
                                                                    <w:spacing w:after="0" w:line="240" w:lineRule="auto"/>
                                                                  </w:pPr>
                                                                  <w:r w:rsidRPr="0000142B">
                                                                    <w:rPr>
                                                                      <w:u w:val="single"/>
                                                                    </w:rPr>
                                                                    <w:drawing>
                                                                      <wp:inline distT="0" distB="0" distL="0" distR="0" wp14:anchorId="42805CF6" wp14:editId="21B66E7C">
                                                                        <wp:extent cx="228600" cy="228600"/>
                                                                        <wp:effectExtent l="0" t="0" r="0" b="0"/>
                                                                        <wp:docPr id="869329145" name="Picture 10"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8570A5" w14:textId="77777777" w:rsidR="0000142B" w:rsidRPr="0000142B" w:rsidRDefault="0000142B" w:rsidP="0000142B">
                                                            <w:pPr>
                                                              <w:spacing w:after="0" w:line="240" w:lineRule="auto"/>
                                                            </w:pPr>
                                                          </w:p>
                                                        </w:tc>
                                                      </w:tr>
                                                    </w:tbl>
                                                    <w:p w14:paraId="57ED2EC7" w14:textId="77777777" w:rsidR="0000142B" w:rsidRPr="0000142B" w:rsidRDefault="0000142B" w:rsidP="0000142B">
                                                      <w:pPr>
                                                        <w:spacing w:after="0" w:line="240" w:lineRule="auto"/>
                                                      </w:pPr>
                                                    </w:p>
                                                  </w:tc>
                                                </w:tr>
                                              </w:tbl>
                                              <w:p w14:paraId="4635396B" w14:textId="77777777" w:rsidR="0000142B" w:rsidRPr="0000142B" w:rsidRDefault="0000142B" w:rsidP="0000142B">
                                                <w:pPr>
                                                  <w:spacing w:after="0" w:line="240" w:lineRule="auto"/>
                                                </w:pPr>
                                              </w:p>
                                            </w:tc>
                                          </w:tr>
                                        </w:tbl>
                                        <w:p w14:paraId="311966E4" w14:textId="77777777" w:rsidR="0000142B" w:rsidRPr="0000142B" w:rsidRDefault="0000142B" w:rsidP="0000142B">
                                          <w:pPr>
                                            <w:spacing w:after="0" w:line="240" w:lineRule="auto"/>
                                          </w:pPr>
                                        </w:p>
                                      </w:tc>
                                    </w:tr>
                                  </w:tbl>
                                  <w:p w14:paraId="5DAD4BD0" w14:textId="77777777" w:rsidR="0000142B" w:rsidRPr="0000142B" w:rsidRDefault="0000142B" w:rsidP="0000142B">
                                    <w:pPr>
                                      <w:spacing w:after="0" w:line="240" w:lineRule="auto"/>
                                    </w:pPr>
                                  </w:p>
                                </w:tc>
                              </w:tr>
                            </w:tbl>
                            <w:p w14:paraId="74FF1852" w14:textId="77777777" w:rsidR="0000142B" w:rsidRPr="0000142B" w:rsidRDefault="0000142B" w:rsidP="0000142B">
                              <w:pPr>
                                <w:spacing w:after="0" w:line="240" w:lineRule="auto"/>
                              </w:pPr>
                            </w:p>
                          </w:tc>
                        </w:tr>
                      </w:tbl>
                      <w:p w14:paraId="4B5A348B" w14:textId="77777777" w:rsidR="0000142B" w:rsidRPr="0000142B" w:rsidRDefault="0000142B" w:rsidP="0000142B">
                        <w:pPr>
                          <w:spacing w:after="0" w:line="240" w:lineRule="auto"/>
                        </w:pPr>
                      </w:p>
                    </w:tc>
                  </w:tr>
                </w:tbl>
                <w:p w14:paraId="03F94393" w14:textId="77777777" w:rsidR="0000142B" w:rsidRPr="0000142B" w:rsidRDefault="0000142B" w:rsidP="0000142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142B" w:rsidRPr="0000142B" w14:paraId="0A6F4D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18130BC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142B" w:rsidRPr="0000142B" w14:paraId="7FF82D14" w14:textId="77777777">
                                <w:tc>
                                  <w:tcPr>
                                    <w:tcW w:w="0" w:type="auto"/>
                                    <w:tcMar>
                                      <w:top w:w="0" w:type="dxa"/>
                                      <w:left w:w="270" w:type="dxa"/>
                                      <w:bottom w:w="135" w:type="dxa"/>
                                      <w:right w:w="270" w:type="dxa"/>
                                    </w:tcMar>
                                    <w:hideMark/>
                                  </w:tcPr>
                                  <w:p w14:paraId="0CA20C56" w14:textId="77777777" w:rsidR="0000142B" w:rsidRPr="0000142B" w:rsidRDefault="0000142B" w:rsidP="0000142B">
                                    <w:pPr>
                                      <w:spacing w:after="0" w:line="240" w:lineRule="auto"/>
                                      <w:jc w:val="center"/>
                                    </w:pPr>
                                    <w:r w:rsidRPr="0000142B">
                                      <w:rPr>
                                        <w:b/>
                                        <w:bCs/>
                                      </w:rPr>
                                      <w:t>Community Pharmacy England</w:t>
                                    </w:r>
                                    <w:r w:rsidRPr="0000142B">
                                      <w:br/>
                                      <w:t>Address: 14 Hosier Lane, London EC1A 9LQ</w:t>
                                    </w:r>
                                    <w:r w:rsidRPr="0000142B">
                                      <w:br/>
                                      <w:t xml:space="preserve">Tel: 0203 1220 810 | Email: </w:t>
                                    </w:r>
                                    <w:hyperlink r:id="rId31" w:history="1">
                                      <w:r w:rsidRPr="0000142B">
                                        <w:rPr>
                                          <w:rStyle w:val="Hyperlink"/>
                                        </w:rPr>
                                        <w:t>comms.team@cpe.org.uk</w:t>
                                      </w:r>
                                    </w:hyperlink>
                                  </w:p>
                                  <w:p w14:paraId="3FBFFFFB" w14:textId="77777777" w:rsidR="0000142B" w:rsidRPr="0000142B" w:rsidRDefault="0000142B" w:rsidP="0000142B">
                                    <w:pPr>
                                      <w:spacing w:after="0" w:line="240" w:lineRule="auto"/>
                                      <w:jc w:val="center"/>
                                    </w:pPr>
                                    <w:r w:rsidRPr="0000142B">
                                      <w:rPr>
                                        <w:i/>
                                        <w:iCs/>
                                      </w:rPr>
                                      <w:t xml:space="preserve">Copyright © 2025 Community Pharmacy England, </w:t>
                                    </w:r>
                                    <w:proofErr w:type="gramStart"/>
                                    <w:r w:rsidRPr="0000142B">
                                      <w:rPr>
                                        <w:i/>
                                        <w:iCs/>
                                      </w:rPr>
                                      <w:t>All</w:t>
                                    </w:r>
                                    <w:proofErr w:type="gramEnd"/>
                                    <w:r w:rsidRPr="0000142B">
                                      <w:rPr>
                                        <w:i/>
                                        <w:iCs/>
                                      </w:rPr>
                                      <w:t xml:space="preserve"> rights reserved.</w:t>
                                    </w:r>
                                  </w:p>
                                  <w:p w14:paraId="07B32DFE" w14:textId="71BBC03A" w:rsidR="0000142B" w:rsidRPr="0000142B" w:rsidRDefault="0000142B" w:rsidP="0000142B">
                                    <w:pPr>
                                      <w:spacing w:after="0" w:line="240" w:lineRule="auto"/>
                                      <w:jc w:val="center"/>
                                    </w:pPr>
                                    <w:r w:rsidRPr="0000142B">
                                      <w:t>You are receiving this email because you are subscribed to our newsletters. Community Pharmacy England is the operating name of the Pharmaceutical Services Negotiating Committee (PSNC).</w:t>
                                    </w:r>
                                  </w:p>
                                </w:tc>
                              </w:tr>
                            </w:tbl>
                            <w:p w14:paraId="6EE6673A" w14:textId="77777777" w:rsidR="0000142B" w:rsidRPr="0000142B" w:rsidRDefault="0000142B" w:rsidP="0000142B">
                              <w:pPr>
                                <w:spacing w:after="0" w:line="240" w:lineRule="auto"/>
                              </w:pPr>
                            </w:p>
                          </w:tc>
                        </w:tr>
                      </w:tbl>
                      <w:p w14:paraId="2DB817A1" w14:textId="77777777" w:rsidR="0000142B" w:rsidRPr="0000142B" w:rsidRDefault="0000142B" w:rsidP="0000142B">
                        <w:pPr>
                          <w:spacing w:after="0" w:line="240" w:lineRule="auto"/>
                        </w:pPr>
                      </w:p>
                    </w:tc>
                  </w:tr>
                </w:tbl>
                <w:p w14:paraId="6B06F63F" w14:textId="77777777" w:rsidR="0000142B" w:rsidRPr="0000142B" w:rsidRDefault="0000142B" w:rsidP="0000142B">
                  <w:pPr>
                    <w:spacing w:after="0" w:line="240" w:lineRule="auto"/>
                  </w:pPr>
                </w:p>
              </w:tc>
            </w:tr>
          </w:tbl>
          <w:p w14:paraId="7C23E1C2" w14:textId="77777777" w:rsidR="0000142B" w:rsidRPr="0000142B" w:rsidRDefault="0000142B" w:rsidP="0000142B">
            <w:pPr>
              <w:spacing w:after="0" w:line="240" w:lineRule="auto"/>
            </w:pPr>
          </w:p>
        </w:tc>
      </w:tr>
    </w:tbl>
    <w:p w14:paraId="3612510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B"/>
    <w:rsid w:val="0000142B"/>
    <w:rsid w:val="00413E92"/>
    <w:rsid w:val="00426CEE"/>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D2BF"/>
  <w15:chartTrackingRefBased/>
  <w15:docId w15:val="{228BB62E-44F2-4782-BA28-743E3060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2B"/>
    <w:rPr>
      <w:rFonts w:eastAsiaTheme="majorEastAsia" w:cstheme="majorBidi"/>
      <w:color w:val="272727" w:themeColor="text1" w:themeTint="D8"/>
    </w:rPr>
  </w:style>
  <w:style w:type="paragraph" w:styleId="Title">
    <w:name w:val="Title"/>
    <w:basedOn w:val="Normal"/>
    <w:next w:val="Normal"/>
    <w:link w:val="TitleChar"/>
    <w:uiPriority w:val="10"/>
    <w:qFormat/>
    <w:rsid w:val="00001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2B"/>
    <w:pPr>
      <w:spacing w:before="160"/>
      <w:jc w:val="center"/>
    </w:pPr>
    <w:rPr>
      <w:i/>
      <w:iCs/>
      <w:color w:val="404040" w:themeColor="text1" w:themeTint="BF"/>
    </w:rPr>
  </w:style>
  <w:style w:type="character" w:customStyle="1" w:styleId="QuoteChar">
    <w:name w:val="Quote Char"/>
    <w:basedOn w:val="DefaultParagraphFont"/>
    <w:link w:val="Quote"/>
    <w:uiPriority w:val="29"/>
    <w:rsid w:val="0000142B"/>
    <w:rPr>
      <w:i/>
      <w:iCs/>
      <w:color w:val="404040" w:themeColor="text1" w:themeTint="BF"/>
    </w:rPr>
  </w:style>
  <w:style w:type="paragraph" w:styleId="ListParagraph">
    <w:name w:val="List Paragraph"/>
    <w:basedOn w:val="Normal"/>
    <w:uiPriority w:val="34"/>
    <w:qFormat/>
    <w:rsid w:val="0000142B"/>
    <w:pPr>
      <w:ind w:left="720"/>
      <w:contextualSpacing/>
    </w:pPr>
  </w:style>
  <w:style w:type="character" w:styleId="IntenseEmphasis">
    <w:name w:val="Intense Emphasis"/>
    <w:basedOn w:val="DefaultParagraphFont"/>
    <w:uiPriority w:val="21"/>
    <w:qFormat/>
    <w:rsid w:val="0000142B"/>
    <w:rPr>
      <w:i/>
      <w:iCs/>
      <w:color w:val="0F4761" w:themeColor="accent1" w:themeShade="BF"/>
    </w:rPr>
  </w:style>
  <w:style w:type="paragraph" w:styleId="IntenseQuote">
    <w:name w:val="Intense Quote"/>
    <w:basedOn w:val="Normal"/>
    <w:next w:val="Normal"/>
    <w:link w:val="IntenseQuoteChar"/>
    <w:uiPriority w:val="30"/>
    <w:qFormat/>
    <w:rsid w:val="00001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42B"/>
    <w:rPr>
      <w:i/>
      <w:iCs/>
      <w:color w:val="0F4761" w:themeColor="accent1" w:themeShade="BF"/>
    </w:rPr>
  </w:style>
  <w:style w:type="character" w:styleId="IntenseReference">
    <w:name w:val="Intense Reference"/>
    <w:basedOn w:val="DefaultParagraphFont"/>
    <w:uiPriority w:val="32"/>
    <w:qFormat/>
    <w:rsid w:val="0000142B"/>
    <w:rPr>
      <w:b/>
      <w:bCs/>
      <w:smallCaps/>
      <w:color w:val="0F4761" w:themeColor="accent1" w:themeShade="BF"/>
      <w:spacing w:val="5"/>
    </w:rPr>
  </w:style>
  <w:style w:type="character" w:styleId="Hyperlink">
    <w:name w:val="Hyperlink"/>
    <w:basedOn w:val="DefaultParagraphFont"/>
    <w:uiPriority w:val="99"/>
    <w:unhideWhenUsed/>
    <w:rsid w:val="0000142B"/>
    <w:rPr>
      <w:color w:val="467886" w:themeColor="hyperlink"/>
      <w:u w:val="single"/>
    </w:rPr>
  </w:style>
  <w:style w:type="character" w:styleId="UnresolvedMention">
    <w:name w:val="Unresolved Mention"/>
    <w:basedOn w:val="DefaultParagraphFont"/>
    <w:uiPriority w:val="99"/>
    <w:semiHidden/>
    <w:unhideWhenUsed/>
    <w:rsid w:val="0000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792e93fc74&amp;e=d19e9fd41c"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79ce622ecf&amp;e=d19e9fd41c" TargetMode="External"/><Relationship Id="rId34" Type="http://schemas.openxmlformats.org/officeDocument/2006/relationships/customXml" Target="../customXml/item1.xml"/><Relationship Id="rId7" Type="http://schemas.openxmlformats.org/officeDocument/2006/relationships/hyperlink" Target="https://cpe.us7.list-manage.com/track/click?u=86d41ab7fa4c7c2c5d7210782&amp;id=733baa3c19&amp;e=d19e9fd41c" TargetMode="External"/><Relationship Id="rId12" Type="http://schemas.openxmlformats.org/officeDocument/2006/relationships/hyperlink" Target="https://cpe.us7.list-manage.com/track/click?u=86d41ab7fa4c7c2c5d7210782&amp;id=4c6d786fe4&amp;e=d19e9fd41c" TargetMode="External"/><Relationship Id="rId17" Type="http://schemas.openxmlformats.org/officeDocument/2006/relationships/hyperlink" Target="https://cpe.us7.list-manage.com/track/click?u=86d41ab7fa4c7c2c5d7210782&amp;id=e658a5f254&amp;e=d19e9fd41c" TargetMode="External"/><Relationship Id="rId25" Type="http://schemas.openxmlformats.org/officeDocument/2006/relationships/hyperlink" Target="https://cpe.us7.list-manage.com/track/click?u=86d41ab7fa4c7c2c5d7210782&amp;id=a4f01d7186&amp;e=d19e9fd41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ab27ee503a&amp;e=d19e9fd41c" TargetMode="External"/><Relationship Id="rId20" Type="http://schemas.openxmlformats.org/officeDocument/2006/relationships/hyperlink" Target="https://cpe.us7.list-manage.com/track/click?u=86d41ab7fa4c7c2c5d7210782&amp;id=bb37513077&amp;e=d19e9fd41c" TargetMode="External"/><Relationship Id="rId29" Type="http://schemas.openxmlformats.org/officeDocument/2006/relationships/hyperlink" Target="https://cpe.us7.list-manage.com/track/click?u=86d41ab7fa4c7c2c5d7210782&amp;id=2da8fa2cc3&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3c079e670a&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14f8aac7d9&amp;e=d19e9fd41c" TargetMode="External"/><Relationship Id="rId23" Type="http://schemas.openxmlformats.org/officeDocument/2006/relationships/hyperlink" Target="https://cpe.us7.list-manage.com/track/click?u=86d41ab7fa4c7c2c5d7210782&amp;id=c0f5a7afaa&amp;e=d19e9fd41c" TargetMode="External"/><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hyperlink" Target="https://cpe.us7.list-manage.com/track/click?u=86d41ab7fa4c7c2c5d7210782&amp;id=97cf7c880e&amp;e=d19e9fd41c" TargetMode="External"/><Relationship Id="rId19" Type="http://schemas.openxmlformats.org/officeDocument/2006/relationships/hyperlink" Target="https://cpe.us7.list-manage.com/track/click?u=86d41ab7fa4c7c2c5d7210782&amp;id=e207cf71ad&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68071d84f1&amp;e=d19e9fd41c" TargetMode="External"/><Relationship Id="rId9" Type="http://schemas.openxmlformats.org/officeDocument/2006/relationships/hyperlink" Target="https://cpe.us7.list-manage.com/track/click?u=86d41ab7fa4c7c2c5d7210782&amp;id=56a9d5221c&amp;e=d19e9fd41c" TargetMode="External"/><Relationship Id="rId14" Type="http://schemas.openxmlformats.org/officeDocument/2006/relationships/hyperlink" Target="https://cpe.us7.list-manage.com/track/click?u=86d41ab7fa4c7c2c5d7210782&amp;id=1e684e9d2d&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a950bb3fdf&amp;e=d19e9fd41c" TargetMode="External"/><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99E17988-99C4-4932-917E-44943837533C}"/>
</file>

<file path=customXml/itemProps2.xml><?xml version="1.0" encoding="utf-8"?>
<ds:datastoreItem xmlns:ds="http://schemas.openxmlformats.org/officeDocument/2006/customXml" ds:itemID="{8CDF34F7-4D6F-4E55-AA7D-7B3BAAC6D323}"/>
</file>

<file path=customXml/itemProps3.xml><?xml version="1.0" encoding="utf-8"?>
<ds:datastoreItem xmlns:ds="http://schemas.openxmlformats.org/officeDocument/2006/customXml" ds:itemID="{BC2890D8-8B39-4BA6-B025-C176E818204D}"/>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2025-10-13T07:11:00Z</dcterms:created>
  <dcterms:modified xsi:type="dcterms:W3CDTF">2025-10-13T07:13:00Z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