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74CEA" w:rsidRPr="00F74CEA" w14:paraId="155A0A5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74CEA" w:rsidRPr="00F74CEA" w14:paraId="3432E1A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74CEA" w:rsidRPr="00F74CEA" w14:paraId="05E899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3C51D3C8" w14:textId="77777777">
                          <w:tc>
                            <w:tcPr>
                              <w:tcW w:w="9000" w:type="dxa"/>
                              <w:hideMark/>
                            </w:tcPr>
                            <w:p w14:paraId="5B5DE61D" w14:textId="77777777" w:rsidR="00F74CEA" w:rsidRPr="00F74CEA" w:rsidRDefault="00F74CEA" w:rsidP="00F74CEA">
                              <w:pPr>
                                <w:spacing w:after="0" w:line="240" w:lineRule="auto"/>
                              </w:pPr>
                            </w:p>
                          </w:tc>
                        </w:tr>
                      </w:tbl>
                      <w:p w14:paraId="2A36730E" w14:textId="77777777" w:rsidR="00F74CEA" w:rsidRPr="00F74CEA" w:rsidRDefault="00F74CEA" w:rsidP="00F74CEA">
                        <w:pPr>
                          <w:spacing w:after="0" w:line="240" w:lineRule="auto"/>
                        </w:pPr>
                      </w:p>
                    </w:tc>
                  </w:tr>
                </w:tbl>
                <w:p w14:paraId="476621FE" w14:textId="77777777" w:rsidR="00F74CEA" w:rsidRPr="00F74CEA" w:rsidRDefault="00F74CEA" w:rsidP="00F74CEA">
                  <w:pPr>
                    <w:spacing w:after="0" w:line="240" w:lineRule="auto"/>
                  </w:pPr>
                </w:p>
              </w:tc>
            </w:tr>
            <w:tr w:rsidR="00F74CEA" w:rsidRPr="00F74CEA" w14:paraId="44636B1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74CEA" w:rsidRPr="00F74CEA" w14:paraId="3282FA7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74CEA" w:rsidRPr="00F74CEA" w14:paraId="26C8D65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74CEA" w:rsidRPr="00F74CEA" w14:paraId="73FB399F" w14:textId="77777777">
                                <w:tc>
                                  <w:tcPr>
                                    <w:tcW w:w="0" w:type="auto"/>
                                    <w:hideMark/>
                                  </w:tcPr>
                                  <w:p w14:paraId="1F073EA6" w14:textId="3445A685" w:rsidR="00F74CEA" w:rsidRPr="00F74CEA" w:rsidRDefault="00F74CEA" w:rsidP="00F74CEA">
                                    <w:pPr>
                                      <w:spacing w:after="0" w:line="240" w:lineRule="auto"/>
                                    </w:pPr>
                                    <w:r w:rsidRPr="00F74CEA">
                                      <w:drawing>
                                        <wp:inline distT="0" distB="0" distL="0" distR="0" wp14:anchorId="680F730A" wp14:editId="4F6A18C9">
                                          <wp:extent cx="2514600" cy="812800"/>
                                          <wp:effectExtent l="0" t="0" r="0" b="6350"/>
                                          <wp:docPr id="397076941"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74CEA" w:rsidRPr="00F74CEA" w14:paraId="5FC5028D" w14:textId="77777777">
                                <w:tc>
                                  <w:tcPr>
                                    <w:tcW w:w="0" w:type="auto"/>
                                    <w:hideMark/>
                                  </w:tcPr>
                                  <w:p w14:paraId="07DE885E" w14:textId="77777777" w:rsidR="00F74CEA" w:rsidRPr="00F74CEA" w:rsidRDefault="00F74CEA" w:rsidP="00F74CEA">
                                    <w:pPr>
                                      <w:spacing w:after="0" w:line="240" w:lineRule="auto"/>
                                      <w:jc w:val="right"/>
                                      <w:rPr>
                                        <w:b/>
                                        <w:bCs/>
                                        <w:sz w:val="36"/>
                                        <w:szCs w:val="36"/>
                                      </w:rPr>
                                    </w:pPr>
                                    <w:r w:rsidRPr="00F74CEA">
                                      <w:rPr>
                                        <w:b/>
                                        <w:bCs/>
                                        <w:sz w:val="36"/>
                                        <w:szCs w:val="36"/>
                                      </w:rPr>
                                      <w:t>Newsletter</w:t>
                                    </w:r>
                                  </w:p>
                                  <w:p w14:paraId="7F223E82" w14:textId="77777777" w:rsidR="00F74CEA" w:rsidRPr="00F74CEA" w:rsidRDefault="00F74CEA" w:rsidP="00F74CEA">
                                    <w:pPr>
                                      <w:spacing w:after="0" w:line="240" w:lineRule="auto"/>
                                      <w:jc w:val="right"/>
                                    </w:pPr>
                                    <w:r w:rsidRPr="00F74CEA">
                                      <w:rPr>
                                        <w:sz w:val="36"/>
                                        <w:szCs w:val="36"/>
                                      </w:rPr>
                                      <w:t>31st October 2025</w:t>
                                    </w:r>
                                  </w:p>
                                </w:tc>
                              </w:tr>
                            </w:tbl>
                            <w:p w14:paraId="23FFC8D8" w14:textId="77777777" w:rsidR="00F74CEA" w:rsidRPr="00F74CEA" w:rsidRDefault="00F74CEA" w:rsidP="00F74CEA">
                              <w:pPr>
                                <w:spacing w:after="0" w:line="240" w:lineRule="auto"/>
                              </w:pPr>
                            </w:p>
                          </w:tc>
                        </w:tr>
                      </w:tbl>
                      <w:p w14:paraId="01D3B993" w14:textId="77777777" w:rsidR="00F74CEA" w:rsidRPr="00F74CEA" w:rsidRDefault="00F74CEA" w:rsidP="00F74CEA">
                        <w:pPr>
                          <w:spacing w:after="0" w:line="240" w:lineRule="auto"/>
                        </w:pPr>
                      </w:p>
                    </w:tc>
                  </w:tr>
                </w:tbl>
                <w:p w14:paraId="65CEAA2D" w14:textId="77777777" w:rsidR="00F74CEA" w:rsidRPr="00F74CEA" w:rsidRDefault="00F74CEA" w:rsidP="00F74CEA">
                  <w:pPr>
                    <w:spacing w:after="0" w:line="240" w:lineRule="auto"/>
                  </w:pPr>
                </w:p>
              </w:tc>
            </w:tr>
            <w:tr w:rsidR="00F74CEA" w:rsidRPr="00F74CEA" w14:paraId="30A2E65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74CEA" w:rsidRPr="00F74CEA" w14:paraId="26B8616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4CEA" w:rsidRPr="00F74CEA" w14:paraId="756547D9" w14:textId="77777777">
                          <w:tc>
                            <w:tcPr>
                              <w:tcW w:w="0" w:type="auto"/>
                              <w:tcMar>
                                <w:top w:w="0" w:type="dxa"/>
                                <w:left w:w="135" w:type="dxa"/>
                                <w:bottom w:w="0" w:type="dxa"/>
                                <w:right w:w="135" w:type="dxa"/>
                              </w:tcMar>
                              <w:hideMark/>
                            </w:tcPr>
                            <w:p w14:paraId="351157E2" w14:textId="47F6722A" w:rsidR="00F74CEA" w:rsidRPr="00F74CEA" w:rsidRDefault="00F74CEA" w:rsidP="00F74CEA">
                              <w:pPr>
                                <w:spacing w:after="0" w:line="240" w:lineRule="auto"/>
                              </w:pPr>
                              <w:r w:rsidRPr="00F74CEA">
                                <w:drawing>
                                  <wp:inline distT="0" distB="0" distL="0" distR="0" wp14:anchorId="33BD33A8" wp14:editId="4AD77D80">
                                    <wp:extent cx="5372100" cy="336550"/>
                                    <wp:effectExtent l="0" t="0" r="0" b="6350"/>
                                    <wp:docPr id="6994595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9824C5D" w14:textId="77777777" w:rsidR="00F74CEA" w:rsidRPr="00F74CEA" w:rsidRDefault="00F74CEA" w:rsidP="00F74CEA">
                        <w:pPr>
                          <w:spacing w:after="0" w:line="240" w:lineRule="auto"/>
                        </w:pPr>
                      </w:p>
                    </w:tc>
                  </w:tr>
                </w:tbl>
                <w:p w14:paraId="0A7E840B"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7304CF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7D14E75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315AAC5F" w14:textId="77777777">
                                <w:tc>
                                  <w:tcPr>
                                    <w:tcW w:w="0" w:type="auto"/>
                                    <w:tcMar>
                                      <w:top w:w="0" w:type="dxa"/>
                                      <w:left w:w="270" w:type="dxa"/>
                                      <w:bottom w:w="135" w:type="dxa"/>
                                      <w:right w:w="270" w:type="dxa"/>
                                    </w:tcMar>
                                    <w:hideMark/>
                                  </w:tcPr>
                                  <w:p w14:paraId="329C4D9F" w14:textId="77777777" w:rsidR="00F74CEA" w:rsidRPr="00F74CEA" w:rsidRDefault="00F74CEA" w:rsidP="00F74CEA">
                                    <w:pPr>
                                      <w:spacing w:after="0" w:line="240" w:lineRule="auto"/>
                                    </w:pPr>
                                    <w:r w:rsidRPr="00F74CEA">
                                      <w:rPr>
                                        <w:b/>
                                        <w:bCs/>
                                      </w:rPr>
                                      <w:t>This newsletter - sent on Mondays, Wednesdays and Fridays - contains important information and resources to support community pharmacies across England.</w:t>
                                    </w:r>
                                  </w:p>
                                </w:tc>
                              </w:tr>
                            </w:tbl>
                            <w:p w14:paraId="7E9389A8" w14:textId="77777777" w:rsidR="00F74CEA" w:rsidRPr="00F74CEA" w:rsidRDefault="00F74CEA" w:rsidP="00F74CEA">
                              <w:pPr>
                                <w:spacing w:after="0" w:line="240" w:lineRule="auto"/>
                              </w:pPr>
                            </w:p>
                          </w:tc>
                        </w:tr>
                      </w:tbl>
                      <w:p w14:paraId="25FCEC5F" w14:textId="77777777" w:rsidR="00F74CEA" w:rsidRPr="00F74CEA" w:rsidRDefault="00F74CEA" w:rsidP="00F74CEA">
                        <w:pPr>
                          <w:spacing w:after="0" w:line="240" w:lineRule="auto"/>
                        </w:pPr>
                      </w:p>
                    </w:tc>
                  </w:tr>
                </w:tbl>
                <w:p w14:paraId="1A9F1D07"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0EB0022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7B141FCC" w14:textId="77777777">
                          <w:trPr>
                            <w:hidden/>
                          </w:trPr>
                          <w:tc>
                            <w:tcPr>
                              <w:tcW w:w="0" w:type="auto"/>
                              <w:tcBorders>
                                <w:top w:val="single" w:sz="12" w:space="0" w:color="106B62"/>
                                <w:left w:val="nil"/>
                                <w:bottom w:val="nil"/>
                                <w:right w:val="nil"/>
                              </w:tcBorders>
                              <w:vAlign w:val="center"/>
                              <w:hideMark/>
                            </w:tcPr>
                            <w:p w14:paraId="6529439F" w14:textId="77777777" w:rsidR="00F74CEA" w:rsidRPr="00F74CEA" w:rsidRDefault="00F74CEA" w:rsidP="00F74CEA">
                              <w:pPr>
                                <w:spacing w:after="0" w:line="240" w:lineRule="auto"/>
                                <w:rPr>
                                  <w:vanish/>
                                </w:rPr>
                              </w:pPr>
                            </w:p>
                          </w:tc>
                        </w:tr>
                      </w:tbl>
                      <w:p w14:paraId="4E14CAAC" w14:textId="77777777" w:rsidR="00F74CEA" w:rsidRPr="00F74CEA" w:rsidRDefault="00F74CEA" w:rsidP="00F74CEA">
                        <w:pPr>
                          <w:spacing w:after="0" w:line="240" w:lineRule="auto"/>
                        </w:pPr>
                      </w:p>
                    </w:tc>
                  </w:tr>
                </w:tbl>
                <w:p w14:paraId="11503C16"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3D78A1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4EA08A0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693E7ED0" w14:textId="77777777">
                                <w:tc>
                                  <w:tcPr>
                                    <w:tcW w:w="0" w:type="auto"/>
                                    <w:tcMar>
                                      <w:top w:w="0" w:type="dxa"/>
                                      <w:left w:w="270" w:type="dxa"/>
                                      <w:bottom w:w="135" w:type="dxa"/>
                                      <w:right w:w="270" w:type="dxa"/>
                                    </w:tcMar>
                                    <w:hideMark/>
                                  </w:tcPr>
                                  <w:p w14:paraId="4E1DD343" w14:textId="77777777" w:rsidR="00F74CEA" w:rsidRPr="00F74CEA" w:rsidRDefault="00F74CEA" w:rsidP="00F74CEA">
                                    <w:pPr>
                                      <w:spacing w:after="0" w:line="240" w:lineRule="auto"/>
                                      <w:rPr>
                                        <w:b/>
                                        <w:bCs/>
                                      </w:rPr>
                                    </w:pPr>
                                    <w:r w:rsidRPr="00F74CEA">
                                      <w:rPr>
                                        <w:b/>
                                        <w:bCs/>
                                      </w:rPr>
                                      <w:t>In this update: Avoid EPS claiming errors with our new guide; Share your views on winter pressures; Dispensing and Supply updates.</w:t>
                                    </w:r>
                                  </w:p>
                                </w:tc>
                              </w:tr>
                            </w:tbl>
                            <w:p w14:paraId="1D93EAB9" w14:textId="77777777" w:rsidR="00F74CEA" w:rsidRPr="00F74CEA" w:rsidRDefault="00F74CEA" w:rsidP="00F74CEA">
                              <w:pPr>
                                <w:spacing w:after="0" w:line="240" w:lineRule="auto"/>
                              </w:pPr>
                            </w:p>
                          </w:tc>
                        </w:tr>
                      </w:tbl>
                      <w:p w14:paraId="7FDC320A" w14:textId="77777777" w:rsidR="00F74CEA" w:rsidRPr="00F74CEA" w:rsidRDefault="00F74CEA" w:rsidP="00F74CEA">
                        <w:pPr>
                          <w:spacing w:after="0" w:line="240" w:lineRule="auto"/>
                        </w:pPr>
                      </w:p>
                    </w:tc>
                  </w:tr>
                </w:tbl>
                <w:p w14:paraId="57D3772D"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405C7E6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397729A6" w14:textId="77777777">
                          <w:trPr>
                            <w:hidden/>
                          </w:trPr>
                          <w:tc>
                            <w:tcPr>
                              <w:tcW w:w="0" w:type="auto"/>
                              <w:tcBorders>
                                <w:top w:val="single" w:sz="12" w:space="0" w:color="106B62"/>
                                <w:left w:val="nil"/>
                                <w:bottom w:val="nil"/>
                                <w:right w:val="nil"/>
                              </w:tcBorders>
                              <w:vAlign w:val="center"/>
                              <w:hideMark/>
                            </w:tcPr>
                            <w:p w14:paraId="668FE5FE" w14:textId="77777777" w:rsidR="00F74CEA" w:rsidRPr="00F74CEA" w:rsidRDefault="00F74CEA" w:rsidP="00F74CEA">
                              <w:pPr>
                                <w:spacing w:after="0" w:line="240" w:lineRule="auto"/>
                                <w:rPr>
                                  <w:vanish/>
                                </w:rPr>
                              </w:pPr>
                            </w:p>
                          </w:tc>
                        </w:tr>
                      </w:tbl>
                      <w:p w14:paraId="2B85A01F" w14:textId="77777777" w:rsidR="00F74CEA" w:rsidRPr="00F74CEA" w:rsidRDefault="00F74CEA" w:rsidP="00F74CEA">
                        <w:pPr>
                          <w:spacing w:after="0" w:line="240" w:lineRule="auto"/>
                        </w:pPr>
                      </w:p>
                    </w:tc>
                  </w:tr>
                </w:tbl>
                <w:p w14:paraId="376B3281"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677464D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4CEA" w:rsidRPr="00F74CEA" w14:paraId="30BE0EB4" w14:textId="77777777">
                          <w:tc>
                            <w:tcPr>
                              <w:tcW w:w="0" w:type="auto"/>
                              <w:tcMar>
                                <w:top w:w="0" w:type="dxa"/>
                                <w:left w:w="135" w:type="dxa"/>
                                <w:bottom w:w="0" w:type="dxa"/>
                                <w:right w:w="135" w:type="dxa"/>
                              </w:tcMar>
                              <w:hideMark/>
                            </w:tcPr>
                            <w:p w14:paraId="267D51F6" w14:textId="6D8B2662" w:rsidR="00F74CEA" w:rsidRPr="00F74CEA" w:rsidRDefault="00F74CEA" w:rsidP="00F74CEA">
                              <w:pPr>
                                <w:spacing w:after="0" w:line="240" w:lineRule="auto"/>
                              </w:pPr>
                              <w:r w:rsidRPr="00F74CEA">
                                <w:drawing>
                                  <wp:inline distT="0" distB="0" distL="0" distR="0" wp14:anchorId="7C737285" wp14:editId="207CC480">
                                    <wp:extent cx="5372100" cy="1790700"/>
                                    <wp:effectExtent l="0" t="0" r="0" b="0"/>
                                    <wp:docPr id="1856045739" name="Picture 16">
                                      <a:hlinkClick xmlns:a="http://schemas.openxmlformats.org/drawingml/2006/main" r:id="rId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646DC0C" w14:textId="77777777" w:rsidR="00F74CEA" w:rsidRPr="00F74CEA" w:rsidRDefault="00F74CEA" w:rsidP="00F74CEA">
                        <w:pPr>
                          <w:spacing w:after="0" w:line="240" w:lineRule="auto"/>
                        </w:pPr>
                      </w:p>
                    </w:tc>
                  </w:tr>
                </w:tbl>
                <w:p w14:paraId="774E6E70"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30151E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77A2A3D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065B63ED" w14:textId="77777777">
                                <w:tc>
                                  <w:tcPr>
                                    <w:tcW w:w="0" w:type="auto"/>
                                    <w:tcMar>
                                      <w:top w:w="0" w:type="dxa"/>
                                      <w:left w:w="270" w:type="dxa"/>
                                      <w:bottom w:w="135" w:type="dxa"/>
                                      <w:right w:w="270" w:type="dxa"/>
                                    </w:tcMar>
                                    <w:hideMark/>
                                  </w:tcPr>
                                  <w:p w14:paraId="16EFBE12" w14:textId="77777777" w:rsidR="00F74CEA" w:rsidRPr="00F74CEA" w:rsidRDefault="00F74CEA" w:rsidP="00F74CEA">
                                    <w:pPr>
                                      <w:spacing w:after="0" w:line="240" w:lineRule="auto"/>
                                    </w:pPr>
                                    <w:r w:rsidRPr="00F74CEA">
                                      <w:t>Getting paid accurately and on time for electronic prescriptions (EPS) starts with submitting them correctly; but even small errors can lead to delays or deductions. Many pharmacy teams are still losing out on payments due to avoidable mistakes in the EPS claiming process.</w:t>
                                    </w:r>
                                    <w:r w:rsidRPr="00F74CEA">
                                      <w:br/>
                                    </w:r>
                                    <w:r w:rsidRPr="00F74CEA">
                                      <w:br/>
                                      <w:t>Our latest Funding &amp; Reimbursement Shorts video focuses on how to get EPS submissions right. In the episode, our Community Pharmacy IT Policy Manager and Dispensing and Supply Team Supervisor walk viewers through the full claiming journey, explaining the importance of submitting both Dispense and Claim Notifications, applying correct endorsements and exemption statuses, and managing mixed or part-dispensed prescriptions.</w:t>
                                    </w:r>
                                    <w:r w:rsidRPr="00F74CEA">
                                      <w:br/>
                                    </w:r>
                                    <w:r w:rsidRPr="00F74CEA">
                                      <w:br/>
                                      <w:t>They also cover how EPS claims interact with submission deadlines and how to use system-generated reports to reconcile payments.</w:t>
                                    </w:r>
                                  </w:p>
                                </w:tc>
                              </w:tr>
                            </w:tbl>
                            <w:p w14:paraId="7B153517" w14:textId="77777777" w:rsidR="00F74CEA" w:rsidRPr="00F74CEA" w:rsidRDefault="00F74CEA" w:rsidP="00F74CEA">
                              <w:pPr>
                                <w:spacing w:after="0" w:line="240" w:lineRule="auto"/>
                              </w:pPr>
                            </w:p>
                          </w:tc>
                        </w:tr>
                      </w:tbl>
                      <w:p w14:paraId="3573A1DB" w14:textId="77777777" w:rsidR="00F74CEA" w:rsidRPr="00F74CEA" w:rsidRDefault="00F74CEA" w:rsidP="00F74CEA">
                        <w:pPr>
                          <w:spacing w:after="0" w:line="240" w:lineRule="auto"/>
                        </w:pPr>
                      </w:p>
                    </w:tc>
                  </w:tr>
                </w:tbl>
                <w:p w14:paraId="352EF493"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3ED1325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705"/>
                        </w:tblGrid>
                        <w:tr w:rsidR="00F74CEA" w:rsidRPr="00F74CEA" w14:paraId="1B15799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5697E0C" w14:textId="77777777" w:rsidR="00F74CEA" w:rsidRPr="00F74CEA" w:rsidRDefault="00F74CEA" w:rsidP="00F74CEA">
                              <w:pPr>
                                <w:spacing w:after="0" w:line="240" w:lineRule="auto"/>
                              </w:pPr>
                              <w:hyperlink r:id="rId11" w:tgtFrame="_blank" w:tooltip="Watch our video guide" w:history="1">
                                <w:r w:rsidRPr="00F74CEA">
                                  <w:rPr>
                                    <w:rStyle w:val="Hyperlink"/>
                                    <w:b/>
                                    <w:bCs/>
                                  </w:rPr>
                                  <w:t>Watch our video guide</w:t>
                                </w:r>
                              </w:hyperlink>
                              <w:r w:rsidRPr="00F74CEA">
                                <w:t xml:space="preserve"> </w:t>
                              </w:r>
                            </w:p>
                          </w:tc>
                        </w:tr>
                      </w:tbl>
                      <w:p w14:paraId="21E73B0D" w14:textId="77777777" w:rsidR="00F74CEA" w:rsidRPr="00F74CEA" w:rsidRDefault="00F74CEA" w:rsidP="00F74CEA">
                        <w:pPr>
                          <w:spacing w:after="0" w:line="240" w:lineRule="auto"/>
                        </w:pPr>
                      </w:p>
                    </w:tc>
                  </w:tr>
                </w:tbl>
                <w:p w14:paraId="7A8544E3"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4C18879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48D15C9F" w14:textId="77777777">
                          <w:trPr>
                            <w:hidden/>
                          </w:trPr>
                          <w:tc>
                            <w:tcPr>
                              <w:tcW w:w="0" w:type="auto"/>
                              <w:tcBorders>
                                <w:top w:val="single" w:sz="12" w:space="0" w:color="106B62"/>
                                <w:left w:val="nil"/>
                                <w:bottom w:val="nil"/>
                                <w:right w:val="nil"/>
                              </w:tcBorders>
                              <w:vAlign w:val="center"/>
                              <w:hideMark/>
                            </w:tcPr>
                            <w:p w14:paraId="65B0C062" w14:textId="77777777" w:rsidR="00F74CEA" w:rsidRPr="00F74CEA" w:rsidRDefault="00F74CEA" w:rsidP="00F74CEA">
                              <w:pPr>
                                <w:spacing w:after="0" w:line="240" w:lineRule="auto"/>
                                <w:rPr>
                                  <w:vanish/>
                                </w:rPr>
                              </w:pPr>
                            </w:p>
                          </w:tc>
                        </w:tr>
                      </w:tbl>
                      <w:p w14:paraId="22DB249E" w14:textId="77777777" w:rsidR="00F74CEA" w:rsidRPr="00F74CEA" w:rsidRDefault="00F74CEA" w:rsidP="00F74CEA">
                        <w:pPr>
                          <w:spacing w:after="0" w:line="240" w:lineRule="auto"/>
                        </w:pPr>
                      </w:p>
                    </w:tc>
                  </w:tr>
                </w:tbl>
                <w:p w14:paraId="641726B7"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49F1FF1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4CEA" w:rsidRPr="00F74CEA" w14:paraId="7B1CD6AA" w14:textId="77777777">
                          <w:tc>
                            <w:tcPr>
                              <w:tcW w:w="0" w:type="auto"/>
                              <w:tcMar>
                                <w:top w:w="0" w:type="dxa"/>
                                <w:left w:w="135" w:type="dxa"/>
                                <w:bottom w:w="0" w:type="dxa"/>
                                <w:right w:w="135" w:type="dxa"/>
                              </w:tcMar>
                              <w:hideMark/>
                            </w:tcPr>
                            <w:p w14:paraId="6735196A" w14:textId="01F5CF8E" w:rsidR="00F74CEA" w:rsidRPr="00F74CEA" w:rsidRDefault="00F74CEA" w:rsidP="00F74CEA">
                              <w:pPr>
                                <w:spacing w:after="0" w:line="240" w:lineRule="auto"/>
                              </w:pPr>
                              <w:r w:rsidRPr="00F74CEA">
                                <w:drawing>
                                  <wp:inline distT="0" distB="0" distL="0" distR="0" wp14:anchorId="73FD44E2" wp14:editId="3BEE7886">
                                    <wp:extent cx="5372100" cy="1790700"/>
                                    <wp:effectExtent l="0" t="0" r="0" b="0"/>
                                    <wp:docPr id="1854050788" name="Picture 15" descr="A green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50788" name="Picture 15" descr="A green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C642BD3" w14:textId="77777777" w:rsidR="00F74CEA" w:rsidRPr="00F74CEA" w:rsidRDefault="00F74CEA" w:rsidP="00F74CEA">
                        <w:pPr>
                          <w:spacing w:after="0" w:line="240" w:lineRule="auto"/>
                        </w:pPr>
                      </w:p>
                    </w:tc>
                  </w:tr>
                </w:tbl>
                <w:p w14:paraId="63D2F89B"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655F11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5F2709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7BEDFEF5" w14:textId="77777777">
                                <w:tc>
                                  <w:tcPr>
                                    <w:tcW w:w="0" w:type="auto"/>
                                    <w:tcMar>
                                      <w:top w:w="0" w:type="dxa"/>
                                      <w:left w:w="270" w:type="dxa"/>
                                      <w:bottom w:w="135" w:type="dxa"/>
                                      <w:right w:w="270" w:type="dxa"/>
                                    </w:tcMar>
                                    <w:hideMark/>
                                  </w:tcPr>
                                  <w:p w14:paraId="2F982C73" w14:textId="77777777" w:rsidR="00F74CEA" w:rsidRPr="00F74CEA" w:rsidRDefault="00F74CEA" w:rsidP="00F74CEA">
                                    <w:pPr>
                                      <w:spacing w:after="0" w:line="240" w:lineRule="auto"/>
                                    </w:pPr>
                                    <w:r w:rsidRPr="00F74CEA">
                                      <w:t>As the sector prepares for the winter season and beyond, we would like to hear pharmacy owners’ views and concerns to inform our November Committee meeting.</w:t>
                                    </w:r>
                                    <w:r w:rsidRPr="00F74CEA">
                                      <w:br/>
                                    </w:r>
                                    <w:r w:rsidRPr="00F74CEA">
                                      <w:br/>
                                      <w:t xml:space="preserve">Pharmacy owners have until </w:t>
                                    </w:r>
                                    <w:r w:rsidRPr="00F74CEA">
                                      <w:rPr>
                                        <w:b/>
                                        <w:bCs/>
                                      </w:rPr>
                                      <w:t>11.59pm on 10th November </w:t>
                                    </w:r>
                                    <w:r w:rsidRPr="00F74CEA">
                                      <w:t>to respond.</w:t>
                                    </w:r>
                                    <w:r w:rsidRPr="00F74CEA">
                                      <w:br/>
                                    </w:r>
                                    <w:r w:rsidRPr="00F74CEA">
                                      <w:rPr>
                                        <w:b/>
                                        <w:bCs/>
                                      </w:rPr>
                                      <w:br/>
                                    </w:r>
                                    <w:hyperlink r:id="rId14" w:tgtFrame="_blank" w:tooltip="Directly input into the Committee’s discussions via this short poll (for independent and non-CCA multiples only) " w:history="1">
                                      <w:r w:rsidRPr="00F74CEA">
                                        <w:rPr>
                                          <w:rStyle w:val="Hyperlink"/>
                                          <w:b/>
                                          <w:bCs/>
                                        </w:rPr>
                                        <w:t>Directly input into the Committee’s discussions via this short poll</w:t>
                                      </w:r>
                                    </w:hyperlink>
                                  </w:p>
                                </w:tc>
                              </w:tr>
                            </w:tbl>
                            <w:p w14:paraId="745AEC45" w14:textId="77777777" w:rsidR="00F74CEA" w:rsidRPr="00F74CEA" w:rsidRDefault="00F74CEA" w:rsidP="00F74CEA">
                              <w:pPr>
                                <w:spacing w:after="0" w:line="240" w:lineRule="auto"/>
                              </w:pPr>
                            </w:p>
                          </w:tc>
                        </w:tr>
                      </w:tbl>
                      <w:p w14:paraId="7799E124" w14:textId="77777777" w:rsidR="00F74CEA" w:rsidRPr="00F74CEA" w:rsidRDefault="00F74CEA" w:rsidP="00F74CEA">
                        <w:pPr>
                          <w:spacing w:after="0" w:line="240" w:lineRule="auto"/>
                        </w:pPr>
                      </w:p>
                    </w:tc>
                  </w:tr>
                </w:tbl>
                <w:p w14:paraId="0B31F2AC"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1777498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65AF49CA" w14:textId="77777777">
                          <w:trPr>
                            <w:hidden/>
                          </w:trPr>
                          <w:tc>
                            <w:tcPr>
                              <w:tcW w:w="0" w:type="auto"/>
                              <w:tcBorders>
                                <w:top w:val="single" w:sz="12" w:space="0" w:color="106B62"/>
                                <w:left w:val="nil"/>
                                <w:bottom w:val="nil"/>
                                <w:right w:val="nil"/>
                              </w:tcBorders>
                              <w:vAlign w:val="center"/>
                              <w:hideMark/>
                            </w:tcPr>
                            <w:p w14:paraId="163761CA" w14:textId="77777777" w:rsidR="00F74CEA" w:rsidRPr="00F74CEA" w:rsidRDefault="00F74CEA" w:rsidP="00F74CEA">
                              <w:pPr>
                                <w:spacing w:after="0" w:line="240" w:lineRule="auto"/>
                                <w:rPr>
                                  <w:vanish/>
                                </w:rPr>
                              </w:pPr>
                            </w:p>
                          </w:tc>
                        </w:tr>
                      </w:tbl>
                      <w:p w14:paraId="10AEA832" w14:textId="77777777" w:rsidR="00F74CEA" w:rsidRPr="00F74CEA" w:rsidRDefault="00F74CEA" w:rsidP="00F74CEA">
                        <w:pPr>
                          <w:spacing w:after="0" w:line="240" w:lineRule="auto"/>
                        </w:pPr>
                      </w:p>
                    </w:tc>
                  </w:tr>
                </w:tbl>
                <w:p w14:paraId="564C7ED5"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1772A0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5B9D919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64B00A01" w14:textId="77777777">
                                <w:tc>
                                  <w:tcPr>
                                    <w:tcW w:w="0" w:type="auto"/>
                                    <w:tcMar>
                                      <w:top w:w="0" w:type="dxa"/>
                                      <w:left w:w="270" w:type="dxa"/>
                                      <w:bottom w:w="135" w:type="dxa"/>
                                      <w:right w:w="270" w:type="dxa"/>
                                    </w:tcMar>
                                    <w:hideMark/>
                                  </w:tcPr>
                                  <w:p w14:paraId="4FAA9376" w14:textId="77777777" w:rsidR="00F74CEA" w:rsidRPr="00F74CEA" w:rsidRDefault="00F74CEA" w:rsidP="00F74CEA">
                                    <w:pPr>
                                      <w:spacing w:after="0" w:line="240" w:lineRule="auto"/>
                                      <w:rPr>
                                        <w:b/>
                                        <w:bCs/>
                                      </w:rPr>
                                    </w:pPr>
                                    <w:r w:rsidRPr="00F74CEA">
                                      <w:rPr>
                                        <w:b/>
                                        <w:bCs/>
                                      </w:rPr>
                                      <w:t>Dispensing and Supply updates</w:t>
                                    </w:r>
                                  </w:p>
                                  <w:p w14:paraId="5DE7E6CA" w14:textId="77777777" w:rsidR="00F74CEA" w:rsidRPr="00F74CEA" w:rsidRDefault="00F74CEA" w:rsidP="00F74CEA">
                                    <w:pPr>
                                      <w:spacing w:after="0" w:line="240" w:lineRule="auto"/>
                                    </w:pPr>
                                    <w:r w:rsidRPr="00F74CEA">
                                      <w:rPr>
                                        <w:b/>
                                        <w:bCs/>
                                      </w:rPr>
                                      <w:t>Drug Tariff Appliance Watch: Notice of Deletion</w:t>
                                    </w:r>
                                    <w:r w:rsidRPr="00F74CEA">
                                      <w:br/>
                                      <w:t xml:space="preserve">Community Pharmacy England would like to remind pharmacy teams of the </w:t>
                                    </w:r>
                                    <w:hyperlink r:id="rId15" w:history="1">
                                      <w:r w:rsidRPr="00F74CEA">
                                        <w:rPr>
                                          <w:rStyle w:val="Hyperlink"/>
                                        </w:rPr>
                                        <w:t>Appliances to be deleted</w:t>
                                      </w:r>
                                    </w:hyperlink>
                                    <w:r w:rsidRPr="00F74CEA">
                                      <w:t xml:space="preserve"> from Part IX of the November Drug Tariff. These include </w:t>
                                    </w:r>
                                    <w:proofErr w:type="spellStart"/>
                                    <w:r w:rsidRPr="00F74CEA">
                                      <w:t>Dispos</w:t>
                                    </w:r>
                                    <w:proofErr w:type="spellEnd"/>
                                    <w:r w:rsidRPr="00F74CEA">
                                      <w:t xml:space="preserve">-A-Gloves and </w:t>
                                    </w:r>
                                    <w:proofErr w:type="spellStart"/>
                                    <w:r w:rsidRPr="00F74CEA">
                                      <w:t>Fitlegs</w:t>
                                    </w:r>
                                    <w:proofErr w:type="spellEnd"/>
                                    <w:r w:rsidRPr="00F74CEA">
                                      <w:t xml:space="preserve"> – Class 2 (23-32mmHg) – Tights Closed Toe. </w:t>
                                    </w:r>
                                    <w:hyperlink r:id="rId16" w:tgtFrame="_blank" w:history="1">
                                      <w:r w:rsidRPr="00F74CEA">
                                        <w:rPr>
                                          <w:rStyle w:val="Hyperlink"/>
                                        </w:rPr>
                                        <w:t>More details here</w:t>
                                      </w:r>
                                    </w:hyperlink>
                                    <w:r w:rsidRPr="00F74CEA">
                                      <w:br/>
                                    </w:r>
                                    <w:r w:rsidRPr="00F74CEA">
                                      <w:br/>
                                    </w:r>
                                    <w:r w:rsidRPr="00F74CEA">
                                      <w:rPr>
                                        <w:b/>
                                        <w:bCs/>
                                      </w:rPr>
                                      <w:t>NHSBSA ‘Hints &amp; Tips’ – Issue 61</w:t>
                                    </w:r>
                                    <w:r w:rsidRPr="00F74CEA">
                                      <w:br/>
                                      <w:t>The latest NHS Business Service Authority (NHSBSA) newsletter offers key notices, including on the Community Pharmacy Workforce Survey, SLS endorsement changes, FP10 patient declarations, and more insights to support pharmacy teams.  </w:t>
                                    </w:r>
                                    <w:hyperlink r:id="rId17" w:tgtFrame="_blank" w:history="1">
                                      <w:r w:rsidRPr="00F74CEA">
                                        <w:rPr>
                                          <w:rStyle w:val="Hyperlink"/>
                                        </w:rPr>
                                        <w:t>Read the newsletter</w:t>
                                      </w:r>
                                    </w:hyperlink>
                                    <w:r w:rsidRPr="00F74CEA">
                                      <w:br/>
                                    </w:r>
                                    <w:r w:rsidRPr="00F74CEA">
                                      <w:br/>
                                    </w:r>
                                    <w:r w:rsidRPr="00F74CEA">
                                      <w:rPr>
                                        <w:b/>
                                        <w:bCs/>
                                      </w:rPr>
                                      <w:t>Other updates</w:t>
                                    </w:r>
                                    <w:r w:rsidRPr="00F74CEA">
                                      <w:br/>
                                    </w:r>
                                    <w:proofErr w:type="spellStart"/>
                                    <w:r w:rsidRPr="00F74CEA">
                                      <w:t>Updates</w:t>
                                    </w:r>
                                    <w:proofErr w:type="spellEnd"/>
                                    <w:r w:rsidRPr="00F74CEA">
                                      <w:t xml:space="preserve"> have been issued on the availability and supply from November 2025. </w:t>
                                    </w:r>
                                    <w:r w:rsidRPr="00F74CEA">
                                      <w:rPr>
                                        <w:b/>
                                        <w:bCs/>
                                        <w:i/>
                                        <w:iCs/>
                                      </w:rPr>
                                      <w:t>(Click the hyperlinks below for more information)</w:t>
                                    </w:r>
                                    <w:r w:rsidRPr="00F74CEA">
                                      <w:t>:</w:t>
                                    </w:r>
                                  </w:p>
                                  <w:p w14:paraId="248DB3D1" w14:textId="77777777" w:rsidR="00F74CEA" w:rsidRPr="00F74CEA" w:rsidRDefault="00F74CEA" w:rsidP="00F74CEA">
                                    <w:pPr>
                                      <w:numPr>
                                        <w:ilvl w:val="0"/>
                                        <w:numId w:val="1"/>
                                      </w:numPr>
                                      <w:spacing w:after="0" w:line="240" w:lineRule="auto"/>
                                    </w:pPr>
                                    <w:hyperlink r:id="rId18" w:tgtFrame="_blank" w:history="1">
                                      <w:r w:rsidRPr="00F74CEA">
                                        <w:rPr>
                                          <w:rStyle w:val="Hyperlink"/>
                                        </w:rPr>
                                        <w:t>3 products re-classified as special containers from November 2025</w:t>
                                      </w:r>
                                    </w:hyperlink>
                                  </w:p>
                                  <w:p w14:paraId="6B3829FF" w14:textId="77777777" w:rsidR="00F74CEA" w:rsidRPr="00F74CEA" w:rsidRDefault="00F74CEA" w:rsidP="00F74CEA">
                                    <w:pPr>
                                      <w:numPr>
                                        <w:ilvl w:val="0"/>
                                        <w:numId w:val="1"/>
                                      </w:numPr>
                                      <w:spacing w:after="0" w:line="240" w:lineRule="auto"/>
                                    </w:pPr>
                                    <w:hyperlink r:id="rId19" w:tgtFrame="_blank" w:history="1">
                                      <w:r w:rsidRPr="00F74CEA">
                                        <w:rPr>
                                          <w:rStyle w:val="Hyperlink"/>
                                        </w:rPr>
                                        <w:t>19 products added to the Discount Not Deducted (DND) list from November 2025</w:t>
                                      </w:r>
                                    </w:hyperlink>
                                  </w:p>
                                </w:tc>
                              </w:tr>
                            </w:tbl>
                            <w:p w14:paraId="507CB7A2" w14:textId="77777777" w:rsidR="00F74CEA" w:rsidRPr="00F74CEA" w:rsidRDefault="00F74CEA" w:rsidP="00F74CEA">
                              <w:pPr>
                                <w:spacing w:after="0" w:line="240" w:lineRule="auto"/>
                              </w:pPr>
                            </w:p>
                          </w:tc>
                        </w:tr>
                      </w:tbl>
                      <w:p w14:paraId="46E6986E" w14:textId="77777777" w:rsidR="00F74CEA" w:rsidRPr="00F74CEA" w:rsidRDefault="00F74CEA" w:rsidP="00F74CEA">
                        <w:pPr>
                          <w:spacing w:after="0" w:line="240" w:lineRule="auto"/>
                        </w:pPr>
                      </w:p>
                    </w:tc>
                  </w:tr>
                </w:tbl>
                <w:p w14:paraId="238842B0"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1D25615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01FBCB81" w14:textId="77777777">
                          <w:trPr>
                            <w:hidden/>
                          </w:trPr>
                          <w:tc>
                            <w:tcPr>
                              <w:tcW w:w="0" w:type="auto"/>
                              <w:tcBorders>
                                <w:top w:val="single" w:sz="12" w:space="0" w:color="106B62"/>
                                <w:left w:val="nil"/>
                                <w:bottom w:val="nil"/>
                                <w:right w:val="nil"/>
                              </w:tcBorders>
                              <w:vAlign w:val="center"/>
                              <w:hideMark/>
                            </w:tcPr>
                            <w:p w14:paraId="3D730E63" w14:textId="77777777" w:rsidR="00F74CEA" w:rsidRPr="00F74CEA" w:rsidRDefault="00F74CEA" w:rsidP="00F74CEA">
                              <w:pPr>
                                <w:spacing w:after="0" w:line="240" w:lineRule="auto"/>
                                <w:rPr>
                                  <w:vanish/>
                                </w:rPr>
                              </w:pPr>
                            </w:p>
                          </w:tc>
                        </w:tr>
                      </w:tbl>
                      <w:p w14:paraId="33BAB7AE" w14:textId="77777777" w:rsidR="00F74CEA" w:rsidRPr="00F74CEA" w:rsidRDefault="00F74CEA" w:rsidP="00F74CEA">
                        <w:pPr>
                          <w:spacing w:after="0" w:line="240" w:lineRule="auto"/>
                        </w:pPr>
                      </w:p>
                    </w:tc>
                  </w:tr>
                </w:tbl>
                <w:p w14:paraId="3E12EF0A"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562E759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4CEA" w:rsidRPr="00F74CEA" w14:paraId="1586360B" w14:textId="77777777">
                          <w:tc>
                            <w:tcPr>
                              <w:tcW w:w="0" w:type="auto"/>
                              <w:tcMar>
                                <w:top w:w="0" w:type="dxa"/>
                                <w:left w:w="135" w:type="dxa"/>
                                <w:bottom w:w="0" w:type="dxa"/>
                                <w:right w:w="135" w:type="dxa"/>
                              </w:tcMar>
                              <w:hideMark/>
                            </w:tcPr>
                            <w:p w14:paraId="77691637" w14:textId="065D3129" w:rsidR="00F74CEA" w:rsidRPr="00F74CEA" w:rsidRDefault="00F74CEA" w:rsidP="00F74CEA">
                              <w:pPr>
                                <w:spacing w:after="0" w:line="240" w:lineRule="auto"/>
                              </w:pPr>
                              <w:r w:rsidRPr="00F74CEA">
                                <w:drawing>
                                  <wp:inline distT="0" distB="0" distL="0" distR="0" wp14:anchorId="564899F2" wp14:editId="1753D69E">
                                    <wp:extent cx="5372100" cy="838200"/>
                                    <wp:effectExtent l="0" t="0" r="0" b="0"/>
                                    <wp:docPr id="216569716"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8D3F36D" w14:textId="77777777" w:rsidR="00F74CEA" w:rsidRPr="00F74CEA" w:rsidRDefault="00F74CEA" w:rsidP="00F74CEA">
                        <w:pPr>
                          <w:spacing w:after="0" w:line="240" w:lineRule="auto"/>
                        </w:pPr>
                      </w:p>
                    </w:tc>
                  </w:tr>
                </w:tbl>
                <w:p w14:paraId="4F62D9C8"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1914FA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4CEA" w:rsidRPr="00F74CEA" w14:paraId="0BA59990" w14:textId="77777777">
                          <w:trPr>
                            <w:hidden/>
                          </w:trPr>
                          <w:tc>
                            <w:tcPr>
                              <w:tcW w:w="0" w:type="auto"/>
                              <w:tcBorders>
                                <w:top w:val="single" w:sz="12" w:space="0" w:color="106B62"/>
                                <w:left w:val="nil"/>
                                <w:bottom w:val="nil"/>
                                <w:right w:val="nil"/>
                              </w:tcBorders>
                              <w:vAlign w:val="center"/>
                              <w:hideMark/>
                            </w:tcPr>
                            <w:p w14:paraId="1E49AE04" w14:textId="77777777" w:rsidR="00F74CEA" w:rsidRPr="00F74CEA" w:rsidRDefault="00F74CEA" w:rsidP="00F74CEA">
                              <w:pPr>
                                <w:spacing w:after="0" w:line="240" w:lineRule="auto"/>
                                <w:rPr>
                                  <w:vanish/>
                                </w:rPr>
                              </w:pPr>
                            </w:p>
                          </w:tc>
                        </w:tr>
                      </w:tbl>
                      <w:p w14:paraId="6B00CF13" w14:textId="77777777" w:rsidR="00F74CEA" w:rsidRPr="00F74CEA" w:rsidRDefault="00F74CEA" w:rsidP="00F74CEA">
                        <w:pPr>
                          <w:spacing w:after="0" w:line="240" w:lineRule="auto"/>
                        </w:pPr>
                      </w:p>
                    </w:tc>
                  </w:tr>
                </w:tbl>
                <w:p w14:paraId="54E3578F" w14:textId="77777777" w:rsidR="00F74CEA" w:rsidRPr="00F74CEA" w:rsidRDefault="00F74CEA" w:rsidP="00F74CEA">
                  <w:pPr>
                    <w:spacing w:after="0" w:line="240" w:lineRule="auto"/>
                  </w:pPr>
                </w:p>
              </w:tc>
            </w:tr>
            <w:tr w:rsidR="00F74CEA" w:rsidRPr="00F74CEA" w14:paraId="03F7DCF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74CEA" w:rsidRPr="00F74CEA" w14:paraId="7255AFA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74CEA" w:rsidRPr="00F74CEA" w14:paraId="2942385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74CEA" w:rsidRPr="00F74CEA" w14:paraId="054C97F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74CEA" w:rsidRPr="00F74CEA" w14:paraId="7670129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74CEA" w:rsidRPr="00F74CEA" w14:paraId="768E171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4CEA" w:rsidRPr="00F74CEA" w14:paraId="27C0953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4CEA" w:rsidRPr="00F74CEA" w14:paraId="445645F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4CEA" w:rsidRPr="00F74CEA" w14:paraId="2CCB3057" w14:textId="77777777">
                                                              <w:tc>
                                                                <w:tcPr>
                                                                  <w:tcW w:w="360" w:type="dxa"/>
                                                                  <w:vAlign w:val="center"/>
                                                                  <w:hideMark/>
                                                                </w:tcPr>
                                                                <w:p w14:paraId="746A4AF9" w14:textId="0B92B2C7" w:rsidR="00F74CEA" w:rsidRPr="00F74CEA" w:rsidRDefault="00F74CEA" w:rsidP="00F74CEA">
                                                                  <w:pPr>
                                                                    <w:spacing w:after="0" w:line="240" w:lineRule="auto"/>
                                                                  </w:pPr>
                                                                  <w:r w:rsidRPr="00F74CEA">
                                                                    <w:rPr>
                                                                      <w:u w:val="single"/>
                                                                    </w:rPr>
                                                                    <w:lastRenderedPageBreak/>
                                                                    <w:drawing>
                                                                      <wp:inline distT="0" distB="0" distL="0" distR="0" wp14:anchorId="3A46BEE4" wp14:editId="4F730BA6">
                                                                        <wp:extent cx="228600" cy="228600"/>
                                                                        <wp:effectExtent l="0" t="0" r="0" b="0"/>
                                                                        <wp:docPr id="672829335"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0A3314" w14:textId="77777777" w:rsidR="00F74CEA" w:rsidRPr="00F74CEA" w:rsidRDefault="00F74CEA" w:rsidP="00F74CEA">
                                                            <w:pPr>
                                                              <w:spacing w:after="0" w:line="240" w:lineRule="auto"/>
                                                            </w:pPr>
                                                          </w:p>
                                                        </w:tc>
                                                      </w:tr>
                                                    </w:tbl>
                                                    <w:p w14:paraId="3CC68A9E" w14:textId="77777777" w:rsidR="00F74CEA" w:rsidRPr="00F74CEA" w:rsidRDefault="00F74CEA" w:rsidP="00F74CEA">
                                                      <w:pPr>
                                                        <w:spacing w:after="0" w:line="240" w:lineRule="auto"/>
                                                      </w:pPr>
                                                    </w:p>
                                                  </w:tc>
                                                </w:tr>
                                              </w:tbl>
                                              <w:p w14:paraId="2229DD5D" w14:textId="77777777" w:rsidR="00F74CEA" w:rsidRPr="00F74CEA" w:rsidRDefault="00F74CEA" w:rsidP="00F74CE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4CEA" w:rsidRPr="00F74CEA" w14:paraId="2B1E87F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4CEA" w:rsidRPr="00F74CEA" w14:paraId="28CFA6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4CEA" w:rsidRPr="00F74CEA" w14:paraId="09D78BA8" w14:textId="77777777">
                                                              <w:tc>
                                                                <w:tcPr>
                                                                  <w:tcW w:w="360" w:type="dxa"/>
                                                                  <w:vAlign w:val="center"/>
                                                                  <w:hideMark/>
                                                                </w:tcPr>
                                                                <w:p w14:paraId="3B1E05F6" w14:textId="4AB6B35E" w:rsidR="00F74CEA" w:rsidRPr="00F74CEA" w:rsidRDefault="00F74CEA" w:rsidP="00F74CEA">
                                                                  <w:pPr>
                                                                    <w:spacing w:after="0" w:line="240" w:lineRule="auto"/>
                                                                  </w:pPr>
                                                                  <w:r w:rsidRPr="00F74CEA">
                                                                    <w:rPr>
                                                                      <w:u w:val="single"/>
                                                                    </w:rPr>
                                                                    <w:drawing>
                                                                      <wp:inline distT="0" distB="0" distL="0" distR="0" wp14:anchorId="471612D6" wp14:editId="4ED489C9">
                                                                        <wp:extent cx="228600" cy="228600"/>
                                                                        <wp:effectExtent l="0" t="0" r="0" b="0"/>
                                                                        <wp:docPr id="1196992560"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1564FA" w14:textId="77777777" w:rsidR="00F74CEA" w:rsidRPr="00F74CEA" w:rsidRDefault="00F74CEA" w:rsidP="00F74CEA">
                                                            <w:pPr>
                                                              <w:spacing w:after="0" w:line="240" w:lineRule="auto"/>
                                                            </w:pPr>
                                                          </w:p>
                                                        </w:tc>
                                                      </w:tr>
                                                    </w:tbl>
                                                    <w:p w14:paraId="4131B5F6" w14:textId="77777777" w:rsidR="00F74CEA" w:rsidRPr="00F74CEA" w:rsidRDefault="00F74CEA" w:rsidP="00F74CEA">
                                                      <w:pPr>
                                                        <w:spacing w:after="0" w:line="240" w:lineRule="auto"/>
                                                      </w:pPr>
                                                    </w:p>
                                                  </w:tc>
                                                </w:tr>
                                              </w:tbl>
                                              <w:p w14:paraId="4D51FFC4" w14:textId="77777777" w:rsidR="00F74CEA" w:rsidRPr="00F74CEA" w:rsidRDefault="00F74CEA" w:rsidP="00F74CE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4CEA" w:rsidRPr="00F74CEA" w14:paraId="74E43E9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4CEA" w:rsidRPr="00F74CEA" w14:paraId="35C10C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4CEA" w:rsidRPr="00F74CEA" w14:paraId="3FF7C737" w14:textId="77777777">
                                                              <w:tc>
                                                                <w:tcPr>
                                                                  <w:tcW w:w="360" w:type="dxa"/>
                                                                  <w:vAlign w:val="center"/>
                                                                  <w:hideMark/>
                                                                </w:tcPr>
                                                                <w:p w14:paraId="5DCDEC86" w14:textId="3AB28263" w:rsidR="00F74CEA" w:rsidRPr="00F74CEA" w:rsidRDefault="00F74CEA" w:rsidP="00F74CEA">
                                                                  <w:pPr>
                                                                    <w:spacing w:after="0" w:line="240" w:lineRule="auto"/>
                                                                  </w:pPr>
                                                                  <w:r w:rsidRPr="00F74CEA">
                                                                    <w:rPr>
                                                                      <w:u w:val="single"/>
                                                                    </w:rPr>
                                                                    <w:drawing>
                                                                      <wp:inline distT="0" distB="0" distL="0" distR="0" wp14:anchorId="34DD65B3" wp14:editId="1B0C1C9D">
                                                                        <wp:extent cx="228600" cy="228600"/>
                                                                        <wp:effectExtent l="0" t="0" r="0" b="0"/>
                                                                        <wp:docPr id="415350555"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A27075" w14:textId="77777777" w:rsidR="00F74CEA" w:rsidRPr="00F74CEA" w:rsidRDefault="00F74CEA" w:rsidP="00F74CEA">
                                                            <w:pPr>
                                                              <w:spacing w:after="0" w:line="240" w:lineRule="auto"/>
                                                            </w:pPr>
                                                          </w:p>
                                                        </w:tc>
                                                      </w:tr>
                                                    </w:tbl>
                                                    <w:p w14:paraId="4A0675DB" w14:textId="77777777" w:rsidR="00F74CEA" w:rsidRPr="00F74CEA" w:rsidRDefault="00F74CEA" w:rsidP="00F74CEA">
                                                      <w:pPr>
                                                        <w:spacing w:after="0" w:line="240" w:lineRule="auto"/>
                                                      </w:pPr>
                                                    </w:p>
                                                  </w:tc>
                                                </w:tr>
                                              </w:tbl>
                                              <w:p w14:paraId="7342974C" w14:textId="77777777" w:rsidR="00F74CEA" w:rsidRPr="00F74CEA" w:rsidRDefault="00F74CEA" w:rsidP="00F74CE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74CEA" w:rsidRPr="00F74CEA" w14:paraId="72438A5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74CEA" w:rsidRPr="00F74CEA" w14:paraId="632C33C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4CEA" w:rsidRPr="00F74CEA" w14:paraId="62D6CACF" w14:textId="77777777">
                                                              <w:tc>
                                                                <w:tcPr>
                                                                  <w:tcW w:w="360" w:type="dxa"/>
                                                                  <w:vAlign w:val="center"/>
                                                                  <w:hideMark/>
                                                                </w:tcPr>
                                                                <w:p w14:paraId="5CB33A77" w14:textId="0BAA3E6D" w:rsidR="00F74CEA" w:rsidRPr="00F74CEA" w:rsidRDefault="00F74CEA" w:rsidP="00F74CEA">
                                                                  <w:pPr>
                                                                    <w:spacing w:after="0" w:line="240" w:lineRule="auto"/>
                                                                  </w:pPr>
                                                                  <w:r w:rsidRPr="00F74CEA">
                                                                    <w:rPr>
                                                                      <w:u w:val="single"/>
                                                                    </w:rPr>
                                                                    <w:drawing>
                                                                      <wp:inline distT="0" distB="0" distL="0" distR="0" wp14:anchorId="2C934238" wp14:editId="17149524">
                                                                        <wp:extent cx="228600" cy="228600"/>
                                                                        <wp:effectExtent l="0" t="0" r="0" b="0"/>
                                                                        <wp:docPr id="113449006"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2F5066" w14:textId="77777777" w:rsidR="00F74CEA" w:rsidRPr="00F74CEA" w:rsidRDefault="00F74CEA" w:rsidP="00F74CEA">
                                                            <w:pPr>
                                                              <w:spacing w:after="0" w:line="240" w:lineRule="auto"/>
                                                            </w:pPr>
                                                          </w:p>
                                                        </w:tc>
                                                      </w:tr>
                                                    </w:tbl>
                                                    <w:p w14:paraId="31CBCB50" w14:textId="77777777" w:rsidR="00F74CEA" w:rsidRPr="00F74CEA" w:rsidRDefault="00F74CEA" w:rsidP="00F74CEA">
                                                      <w:pPr>
                                                        <w:spacing w:after="0" w:line="240" w:lineRule="auto"/>
                                                      </w:pPr>
                                                    </w:p>
                                                  </w:tc>
                                                </w:tr>
                                              </w:tbl>
                                              <w:p w14:paraId="241FE482" w14:textId="77777777" w:rsidR="00F74CEA" w:rsidRPr="00F74CEA" w:rsidRDefault="00F74CEA" w:rsidP="00F74CEA">
                                                <w:pPr>
                                                  <w:spacing w:after="0" w:line="240" w:lineRule="auto"/>
                                                </w:pPr>
                                              </w:p>
                                            </w:tc>
                                          </w:tr>
                                        </w:tbl>
                                        <w:p w14:paraId="441861E3" w14:textId="77777777" w:rsidR="00F74CEA" w:rsidRPr="00F74CEA" w:rsidRDefault="00F74CEA" w:rsidP="00F74CEA">
                                          <w:pPr>
                                            <w:spacing w:after="0" w:line="240" w:lineRule="auto"/>
                                          </w:pPr>
                                        </w:p>
                                      </w:tc>
                                    </w:tr>
                                  </w:tbl>
                                  <w:p w14:paraId="4486E002" w14:textId="77777777" w:rsidR="00F74CEA" w:rsidRPr="00F74CEA" w:rsidRDefault="00F74CEA" w:rsidP="00F74CEA">
                                    <w:pPr>
                                      <w:spacing w:after="0" w:line="240" w:lineRule="auto"/>
                                    </w:pPr>
                                  </w:p>
                                </w:tc>
                              </w:tr>
                            </w:tbl>
                            <w:p w14:paraId="666E1C58" w14:textId="77777777" w:rsidR="00F74CEA" w:rsidRPr="00F74CEA" w:rsidRDefault="00F74CEA" w:rsidP="00F74CEA">
                              <w:pPr>
                                <w:spacing w:after="0" w:line="240" w:lineRule="auto"/>
                              </w:pPr>
                            </w:p>
                          </w:tc>
                        </w:tr>
                      </w:tbl>
                      <w:p w14:paraId="6C78D379" w14:textId="77777777" w:rsidR="00F74CEA" w:rsidRPr="00F74CEA" w:rsidRDefault="00F74CEA" w:rsidP="00F74CEA">
                        <w:pPr>
                          <w:spacing w:after="0" w:line="240" w:lineRule="auto"/>
                        </w:pPr>
                      </w:p>
                    </w:tc>
                  </w:tr>
                </w:tbl>
                <w:p w14:paraId="5C41A79C" w14:textId="77777777" w:rsidR="00F74CEA" w:rsidRPr="00F74CEA" w:rsidRDefault="00F74CEA" w:rsidP="00F74CE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4CEA" w:rsidRPr="00F74CEA" w14:paraId="1B2613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08BD190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4CEA" w:rsidRPr="00F74CEA" w14:paraId="0F69E303" w14:textId="77777777">
                                <w:tc>
                                  <w:tcPr>
                                    <w:tcW w:w="0" w:type="auto"/>
                                    <w:tcMar>
                                      <w:top w:w="0" w:type="dxa"/>
                                      <w:left w:w="270" w:type="dxa"/>
                                      <w:bottom w:w="135" w:type="dxa"/>
                                      <w:right w:w="270" w:type="dxa"/>
                                    </w:tcMar>
                                    <w:hideMark/>
                                  </w:tcPr>
                                  <w:p w14:paraId="5DC8002F" w14:textId="77777777" w:rsidR="00F74CEA" w:rsidRPr="00F74CEA" w:rsidRDefault="00F74CEA" w:rsidP="00F74CEA">
                                    <w:pPr>
                                      <w:spacing w:after="0" w:line="240" w:lineRule="auto"/>
                                      <w:jc w:val="center"/>
                                    </w:pPr>
                                    <w:r w:rsidRPr="00F74CEA">
                                      <w:rPr>
                                        <w:b/>
                                        <w:bCs/>
                                      </w:rPr>
                                      <w:t>Community Pharmacy England</w:t>
                                    </w:r>
                                    <w:r w:rsidRPr="00F74CEA">
                                      <w:br/>
                                      <w:t>Address: 14 Hosier Lane, London EC1A 9LQ</w:t>
                                    </w:r>
                                    <w:r w:rsidRPr="00F74CEA">
                                      <w:br/>
                                      <w:t xml:space="preserve">Tel: 0203 1220 810 | Email: </w:t>
                                    </w:r>
                                    <w:hyperlink r:id="rId30" w:history="1">
                                      <w:r w:rsidRPr="00F74CEA">
                                        <w:rPr>
                                          <w:rStyle w:val="Hyperlink"/>
                                        </w:rPr>
                                        <w:t>comms.team@cpe.org.uk</w:t>
                                      </w:r>
                                    </w:hyperlink>
                                  </w:p>
                                  <w:p w14:paraId="5CBBF638" w14:textId="77777777" w:rsidR="00F74CEA" w:rsidRPr="00F74CEA" w:rsidRDefault="00F74CEA" w:rsidP="00F74CEA">
                                    <w:pPr>
                                      <w:spacing w:after="0" w:line="240" w:lineRule="auto"/>
                                      <w:jc w:val="center"/>
                                    </w:pPr>
                                    <w:r w:rsidRPr="00F74CEA">
                                      <w:rPr>
                                        <w:i/>
                                        <w:iCs/>
                                      </w:rPr>
                                      <w:t xml:space="preserve">Copyright © 2025 Community Pharmacy England, </w:t>
                                    </w:r>
                                    <w:proofErr w:type="gramStart"/>
                                    <w:r w:rsidRPr="00F74CEA">
                                      <w:rPr>
                                        <w:i/>
                                        <w:iCs/>
                                      </w:rPr>
                                      <w:t>All</w:t>
                                    </w:r>
                                    <w:proofErr w:type="gramEnd"/>
                                    <w:r w:rsidRPr="00F74CEA">
                                      <w:rPr>
                                        <w:i/>
                                        <w:iCs/>
                                      </w:rPr>
                                      <w:t xml:space="preserve"> rights reserved.</w:t>
                                    </w:r>
                                  </w:p>
                                  <w:p w14:paraId="3B7B9758" w14:textId="6FBCE01C" w:rsidR="00F74CEA" w:rsidRPr="00F74CEA" w:rsidRDefault="00F74CEA" w:rsidP="00F74CEA">
                                    <w:pPr>
                                      <w:spacing w:after="0" w:line="240" w:lineRule="auto"/>
                                      <w:jc w:val="center"/>
                                    </w:pPr>
                                    <w:r w:rsidRPr="00F74CEA">
                                      <w:t>You are receiving this email because you are subscribed to our newsletters. Community Pharmacy England is the operating name of the Pharmaceutical Services Negotiating Committee (PSNC).</w:t>
                                    </w:r>
                                  </w:p>
                                </w:tc>
                              </w:tr>
                            </w:tbl>
                            <w:p w14:paraId="6C36ADF9" w14:textId="77777777" w:rsidR="00F74CEA" w:rsidRPr="00F74CEA" w:rsidRDefault="00F74CEA" w:rsidP="00F74CEA">
                              <w:pPr>
                                <w:spacing w:after="0" w:line="240" w:lineRule="auto"/>
                              </w:pPr>
                            </w:p>
                          </w:tc>
                        </w:tr>
                      </w:tbl>
                      <w:p w14:paraId="5975E6DA" w14:textId="77777777" w:rsidR="00F74CEA" w:rsidRPr="00F74CEA" w:rsidRDefault="00F74CEA" w:rsidP="00F74CEA">
                        <w:pPr>
                          <w:spacing w:after="0" w:line="240" w:lineRule="auto"/>
                        </w:pPr>
                      </w:p>
                    </w:tc>
                  </w:tr>
                </w:tbl>
                <w:p w14:paraId="1ECEF0C8" w14:textId="77777777" w:rsidR="00F74CEA" w:rsidRPr="00F74CEA" w:rsidRDefault="00F74CEA" w:rsidP="00F74CEA">
                  <w:pPr>
                    <w:spacing w:after="0" w:line="240" w:lineRule="auto"/>
                  </w:pPr>
                </w:p>
              </w:tc>
            </w:tr>
          </w:tbl>
          <w:p w14:paraId="56E4749A" w14:textId="77777777" w:rsidR="00F74CEA" w:rsidRPr="00F74CEA" w:rsidRDefault="00F74CEA" w:rsidP="00F74CEA">
            <w:pPr>
              <w:spacing w:after="0" w:line="240" w:lineRule="auto"/>
            </w:pPr>
          </w:p>
        </w:tc>
      </w:tr>
    </w:tbl>
    <w:p w14:paraId="5A59CD48"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80E06"/>
    <w:multiLevelType w:val="multilevel"/>
    <w:tmpl w:val="378EAB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0002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EA"/>
    <w:rsid w:val="00125ACB"/>
    <w:rsid w:val="00413E92"/>
    <w:rsid w:val="006A6164"/>
    <w:rsid w:val="00B96193"/>
    <w:rsid w:val="00F74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CB16"/>
  <w15:chartTrackingRefBased/>
  <w15:docId w15:val="{E410A211-C381-459E-8DC5-DA3F4FEA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EA"/>
    <w:rPr>
      <w:rFonts w:eastAsiaTheme="majorEastAsia" w:cstheme="majorBidi"/>
      <w:color w:val="272727" w:themeColor="text1" w:themeTint="D8"/>
    </w:rPr>
  </w:style>
  <w:style w:type="paragraph" w:styleId="Title">
    <w:name w:val="Title"/>
    <w:basedOn w:val="Normal"/>
    <w:next w:val="Normal"/>
    <w:link w:val="TitleChar"/>
    <w:uiPriority w:val="10"/>
    <w:qFormat/>
    <w:rsid w:val="00F7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EA"/>
    <w:pPr>
      <w:spacing w:before="160"/>
      <w:jc w:val="center"/>
    </w:pPr>
    <w:rPr>
      <w:i/>
      <w:iCs/>
      <w:color w:val="404040" w:themeColor="text1" w:themeTint="BF"/>
    </w:rPr>
  </w:style>
  <w:style w:type="character" w:customStyle="1" w:styleId="QuoteChar">
    <w:name w:val="Quote Char"/>
    <w:basedOn w:val="DefaultParagraphFont"/>
    <w:link w:val="Quote"/>
    <w:uiPriority w:val="29"/>
    <w:rsid w:val="00F74CEA"/>
    <w:rPr>
      <w:i/>
      <w:iCs/>
      <w:color w:val="404040" w:themeColor="text1" w:themeTint="BF"/>
    </w:rPr>
  </w:style>
  <w:style w:type="paragraph" w:styleId="ListParagraph">
    <w:name w:val="List Paragraph"/>
    <w:basedOn w:val="Normal"/>
    <w:uiPriority w:val="34"/>
    <w:qFormat/>
    <w:rsid w:val="00F74CEA"/>
    <w:pPr>
      <w:ind w:left="720"/>
      <w:contextualSpacing/>
    </w:pPr>
  </w:style>
  <w:style w:type="character" w:styleId="IntenseEmphasis">
    <w:name w:val="Intense Emphasis"/>
    <w:basedOn w:val="DefaultParagraphFont"/>
    <w:uiPriority w:val="21"/>
    <w:qFormat/>
    <w:rsid w:val="00F74CEA"/>
    <w:rPr>
      <w:i/>
      <w:iCs/>
      <w:color w:val="0F4761" w:themeColor="accent1" w:themeShade="BF"/>
    </w:rPr>
  </w:style>
  <w:style w:type="paragraph" w:styleId="IntenseQuote">
    <w:name w:val="Intense Quote"/>
    <w:basedOn w:val="Normal"/>
    <w:next w:val="Normal"/>
    <w:link w:val="IntenseQuoteChar"/>
    <w:uiPriority w:val="30"/>
    <w:qFormat/>
    <w:rsid w:val="00F7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EA"/>
    <w:rPr>
      <w:i/>
      <w:iCs/>
      <w:color w:val="0F4761" w:themeColor="accent1" w:themeShade="BF"/>
    </w:rPr>
  </w:style>
  <w:style w:type="character" w:styleId="IntenseReference">
    <w:name w:val="Intense Reference"/>
    <w:basedOn w:val="DefaultParagraphFont"/>
    <w:uiPriority w:val="32"/>
    <w:qFormat/>
    <w:rsid w:val="00F74CEA"/>
    <w:rPr>
      <w:b/>
      <w:bCs/>
      <w:smallCaps/>
      <w:color w:val="0F4761" w:themeColor="accent1" w:themeShade="BF"/>
      <w:spacing w:val="5"/>
    </w:rPr>
  </w:style>
  <w:style w:type="character" w:styleId="Hyperlink">
    <w:name w:val="Hyperlink"/>
    <w:basedOn w:val="DefaultParagraphFont"/>
    <w:uiPriority w:val="99"/>
    <w:unhideWhenUsed/>
    <w:rsid w:val="00F74CEA"/>
    <w:rPr>
      <w:color w:val="467886" w:themeColor="hyperlink"/>
      <w:u w:val="single"/>
    </w:rPr>
  </w:style>
  <w:style w:type="character" w:styleId="UnresolvedMention">
    <w:name w:val="Unresolved Mention"/>
    <w:basedOn w:val="DefaultParagraphFont"/>
    <w:uiPriority w:val="99"/>
    <w:semiHidden/>
    <w:unhideWhenUsed/>
    <w:rsid w:val="00F7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fb153254d5&amp;e=d19e9fd41c" TargetMode="External"/><Relationship Id="rId26" Type="http://schemas.openxmlformats.org/officeDocument/2006/relationships/hyperlink" Target="https://cpe.us7.list-manage.com/track/click?u=86d41ab7fa4c7c2c5d7210782&amp;id=dbdaa8b10f&amp;e=d19e9fd41c"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hyperlink" Target="https://cpe.us7.list-manage.com/track/click?u=86d41ab7fa4c7c2c5d7210782&amp;id=447309ea2a&amp;e=d19e9fd41c" TargetMode="External"/><Relationship Id="rId17" Type="http://schemas.openxmlformats.org/officeDocument/2006/relationships/hyperlink" Target="https://cpe.us7.list-manage.com/track/click?u=86d41ab7fa4c7c2c5d7210782&amp;id=2d0151bc09&amp;e=d19e9fd41c" TargetMode="External"/><Relationship Id="rId25" Type="http://schemas.openxmlformats.org/officeDocument/2006/relationships/image" Target="media/image7.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cpe.us7.list-manage.com/track/click?u=86d41ab7fa4c7c2c5d7210782&amp;id=292af9a4ab&amp;e=d19e9fd41c" TargetMode="External"/><Relationship Id="rId20" Type="http://schemas.openxmlformats.org/officeDocument/2006/relationships/hyperlink" Target="https://cpe.us7.list-manage.com/track/click?u=86d41ab7fa4c7c2c5d7210782&amp;id=08dc9ffbf2&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1930ca7ff0&amp;e=d19e9fd41c" TargetMode="External"/><Relationship Id="rId24" Type="http://schemas.openxmlformats.org/officeDocument/2006/relationships/hyperlink" Target="https://cpe.us7.list-manage.com/track/click?u=86d41ab7fa4c7c2c5d7210782&amp;id=59e320cda2&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d650a2da12&amp;e=d19e9fd41c" TargetMode="External"/><Relationship Id="rId15" Type="http://schemas.openxmlformats.org/officeDocument/2006/relationships/hyperlink" Target="https://cpe.us7.list-manage.com/track/click?u=86d41ab7fa4c7c2c5d7210782&amp;id=87b9038a5a&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c3776b22b2&amp;e=d19e9fd41c" TargetMode="External"/><Relationship Id="rId10" Type="http://schemas.openxmlformats.org/officeDocument/2006/relationships/image" Target="https://mcusercontent.com/86d41ab7fa4c7c2c5d7210782/images/a4afeced-9a55-443e-ba2f-ecde584ac52f.gif" TargetMode="External"/><Relationship Id="rId19" Type="http://schemas.openxmlformats.org/officeDocument/2006/relationships/hyperlink" Target="https://cpe.us7.list-manage.com/track/click?u=86d41ab7fa4c7c2c5d7210782&amp;id=55333d6b01&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pe.us7.list-manage.com/track/click?u=86d41ab7fa4c7c2c5d7210782&amp;id=f2a55d3a09&amp;e=d19e9fd41c" TargetMode="External"/><Relationship Id="rId22" Type="http://schemas.openxmlformats.org/officeDocument/2006/relationships/hyperlink" Target="https://cpe.us7.list-manage.com/track/click?u=86d41ab7fa4c7c2c5d7210782&amp;id=15f7a123f2&amp;e=d19e9fd41c"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hyperlink" Target="https://cpe.us7.list-manage.com/track/click?u=86d41ab7fa4c7c2c5d7210782&amp;id=419bb0b79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5C7EE293-46E9-4103-B59B-B22A3474D082}"/>
</file>

<file path=customXml/itemProps2.xml><?xml version="1.0" encoding="utf-8"?>
<ds:datastoreItem xmlns:ds="http://schemas.openxmlformats.org/officeDocument/2006/customXml" ds:itemID="{C7110251-0504-4B5B-8C01-DC9582C255B2}"/>
</file>

<file path=customXml/itemProps3.xml><?xml version="1.0" encoding="utf-8"?>
<ds:datastoreItem xmlns:ds="http://schemas.openxmlformats.org/officeDocument/2006/customXml" ds:itemID="{0BA128A0-5978-404B-9A12-D59C82F5F1E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2025-11-03T08:41:00Z</dcterms:created>
  <dcterms:modified xsi:type="dcterms:W3CDTF">2025-11-03T08:42:00Z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