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803A73" w:rsidRPr="00803A73" w14:paraId="6ACF989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803A73" w:rsidRPr="00803A73" w14:paraId="012F492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03A73" w:rsidRPr="00803A73" w14:paraId="482FD5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6A761A91" w14:textId="77777777">
                          <w:tc>
                            <w:tcPr>
                              <w:tcW w:w="9000" w:type="dxa"/>
                              <w:hideMark/>
                            </w:tcPr>
                            <w:p w14:paraId="2B5EAF41" w14:textId="77777777" w:rsidR="00803A73" w:rsidRPr="00803A73" w:rsidRDefault="00803A73" w:rsidP="00803A73">
                              <w:pPr>
                                <w:spacing w:after="0" w:line="240" w:lineRule="auto"/>
                              </w:pPr>
                            </w:p>
                          </w:tc>
                        </w:tr>
                      </w:tbl>
                      <w:p w14:paraId="4FE6113B" w14:textId="77777777" w:rsidR="00803A73" w:rsidRPr="00803A73" w:rsidRDefault="00803A73" w:rsidP="00803A73">
                        <w:pPr>
                          <w:spacing w:after="0" w:line="240" w:lineRule="auto"/>
                        </w:pPr>
                      </w:p>
                    </w:tc>
                  </w:tr>
                </w:tbl>
                <w:p w14:paraId="6E1044E0" w14:textId="77777777" w:rsidR="00803A73" w:rsidRPr="00803A73" w:rsidRDefault="00803A73" w:rsidP="00803A73">
                  <w:pPr>
                    <w:spacing w:after="0" w:line="240" w:lineRule="auto"/>
                  </w:pPr>
                </w:p>
              </w:tc>
            </w:tr>
            <w:tr w:rsidR="00803A73" w:rsidRPr="00803A73" w14:paraId="62AE216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03A73" w:rsidRPr="00803A73" w14:paraId="5409CA5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803A73" w:rsidRPr="00803A73" w14:paraId="0EC14E1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803A73" w:rsidRPr="00803A73" w14:paraId="24F32CB4" w14:textId="77777777">
                                <w:tc>
                                  <w:tcPr>
                                    <w:tcW w:w="0" w:type="auto"/>
                                    <w:hideMark/>
                                  </w:tcPr>
                                  <w:p w14:paraId="0E170A4F" w14:textId="1504D2A8" w:rsidR="00803A73" w:rsidRPr="00803A73" w:rsidRDefault="00803A73" w:rsidP="00803A73">
                                    <w:pPr>
                                      <w:spacing w:after="0" w:line="240" w:lineRule="auto"/>
                                    </w:pPr>
                                    <w:r w:rsidRPr="00803A73">
                                      <w:drawing>
                                        <wp:inline distT="0" distB="0" distL="0" distR="0" wp14:anchorId="481988FA" wp14:editId="17939D43">
                                          <wp:extent cx="2514600" cy="812800"/>
                                          <wp:effectExtent l="0" t="0" r="0" b="6350"/>
                                          <wp:docPr id="1202373168"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803A73" w:rsidRPr="00803A73" w14:paraId="44D5F01E" w14:textId="77777777">
                                <w:tc>
                                  <w:tcPr>
                                    <w:tcW w:w="0" w:type="auto"/>
                                    <w:hideMark/>
                                  </w:tcPr>
                                  <w:p w14:paraId="2006B69E" w14:textId="77777777" w:rsidR="00803A73" w:rsidRPr="00803A73" w:rsidRDefault="00803A73" w:rsidP="00803A73">
                                    <w:pPr>
                                      <w:spacing w:after="0" w:line="240" w:lineRule="auto"/>
                                      <w:jc w:val="right"/>
                                      <w:rPr>
                                        <w:b/>
                                        <w:bCs/>
                                        <w:sz w:val="36"/>
                                        <w:szCs w:val="36"/>
                                      </w:rPr>
                                    </w:pPr>
                                    <w:r w:rsidRPr="00803A73">
                                      <w:rPr>
                                        <w:b/>
                                        <w:bCs/>
                                        <w:sz w:val="36"/>
                                        <w:szCs w:val="36"/>
                                      </w:rPr>
                                      <w:t>Newsletter</w:t>
                                    </w:r>
                                  </w:p>
                                  <w:p w14:paraId="3C989697" w14:textId="77777777" w:rsidR="00803A73" w:rsidRPr="00803A73" w:rsidRDefault="00803A73" w:rsidP="00803A73">
                                    <w:pPr>
                                      <w:spacing w:after="0" w:line="240" w:lineRule="auto"/>
                                      <w:jc w:val="right"/>
                                    </w:pPr>
                                    <w:r w:rsidRPr="00803A73">
                                      <w:rPr>
                                        <w:sz w:val="36"/>
                                        <w:szCs w:val="36"/>
                                      </w:rPr>
                                      <w:t>23rd February 2026</w:t>
                                    </w:r>
                                  </w:p>
                                </w:tc>
                              </w:tr>
                            </w:tbl>
                            <w:p w14:paraId="5E69752E" w14:textId="77777777" w:rsidR="00803A73" w:rsidRPr="00803A73" w:rsidRDefault="00803A73" w:rsidP="00803A73">
                              <w:pPr>
                                <w:spacing w:after="0" w:line="240" w:lineRule="auto"/>
                              </w:pPr>
                            </w:p>
                          </w:tc>
                        </w:tr>
                      </w:tbl>
                      <w:p w14:paraId="28DD7CCF" w14:textId="77777777" w:rsidR="00803A73" w:rsidRPr="00803A73" w:rsidRDefault="00803A73" w:rsidP="00803A73">
                        <w:pPr>
                          <w:spacing w:after="0" w:line="240" w:lineRule="auto"/>
                        </w:pPr>
                      </w:p>
                    </w:tc>
                  </w:tr>
                </w:tbl>
                <w:p w14:paraId="16A568B2" w14:textId="77777777" w:rsidR="00803A73" w:rsidRPr="00803A73" w:rsidRDefault="00803A73" w:rsidP="00803A73">
                  <w:pPr>
                    <w:spacing w:after="0" w:line="240" w:lineRule="auto"/>
                  </w:pPr>
                </w:p>
              </w:tc>
            </w:tr>
            <w:tr w:rsidR="00803A73" w:rsidRPr="00803A73" w14:paraId="360F565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03A73" w:rsidRPr="00803A73" w14:paraId="649DD8E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03A73" w:rsidRPr="00803A73" w14:paraId="464F6AFB" w14:textId="77777777">
                          <w:tc>
                            <w:tcPr>
                              <w:tcW w:w="0" w:type="auto"/>
                              <w:tcMar>
                                <w:top w:w="0" w:type="dxa"/>
                                <w:left w:w="135" w:type="dxa"/>
                                <w:bottom w:w="0" w:type="dxa"/>
                                <w:right w:w="135" w:type="dxa"/>
                              </w:tcMar>
                              <w:hideMark/>
                            </w:tcPr>
                            <w:p w14:paraId="4D440A64" w14:textId="1D7073CE" w:rsidR="00803A73" w:rsidRPr="00803A73" w:rsidRDefault="00803A73" w:rsidP="00803A73">
                              <w:pPr>
                                <w:spacing w:after="0" w:line="240" w:lineRule="auto"/>
                              </w:pPr>
                              <w:r w:rsidRPr="00803A73">
                                <w:drawing>
                                  <wp:inline distT="0" distB="0" distL="0" distR="0" wp14:anchorId="16A8C613" wp14:editId="29FB015F">
                                    <wp:extent cx="5372100" cy="336550"/>
                                    <wp:effectExtent l="0" t="0" r="0" b="6350"/>
                                    <wp:docPr id="231625761"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FC7F20D" w14:textId="77777777" w:rsidR="00803A73" w:rsidRPr="00803A73" w:rsidRDefault="00803A73" w:rsidP="00803A73">
                        <w:pPr>
                          <w:spacing w:after="0" w:line="240" w:lineRule="auto"/>
                        </w:pPr>
                      </w:p>
                    </w:tc>
                  </w:tr>
                </w:tbl>
                <w:p w14:paraId="169608D5"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6356B6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08E442D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1160332C" w14:textId="77777777">
                                <w:tc>
                                  <w:tcPr>
                                    <w:tcW w:w="0" w:type="auto"/>
                                    <w:tcMar>
                                      <w:top w:w="0" w:type="dxa"/>
                                      <w:left w:w="270" w:type="dxa"/>
                                      <w:bottom w:w="135" w:type="dxa"/>
                                      <w:right w:w="270" w:type="dxa"/>
                                    </w:tcMar>
                                    <w:hideMark/>
                                  </w:tcPr>
                                  <w:p w14:paraId="14DD85BC" w14:textId="77777777" w:rsidR="00803A73" w:rsidRPr="00803A73" w:rsidRDefault="00803A73" w:rsidP="00803A73">
                                    <w:pPr>
                                      <w:spacing w:after="0" w:line="240" w:lineRule="auto"/>
                                    </w:pPr>
                                    <w:r w:rsidRPr="00803A73">
                                      <w:rPr>
                                        <w:b/>
                                        <w:bCs/>
                                      </w:rPr>
                                      <w:t>This newsletter - sent on Mondays, Wednesdays and Fridays - contains important information and resources to support community pharmacies across England.</w:t>
                                    </w:r>
                                  </w:p>
                                </w:tc>
                              </w:tr>
                            </w:tbl>
                            <w:p w14:paraId="3297E977" w14:textId="77777777" w:rsidR="00803A73" w:rsidRPr="00803A73" w:rsidRDefault="00803A73" w:rsidP="00803A73">
                              <w:pPr>
                                <w:spacing w:after="0" w:line="240" w:lineRule="auto"/>
                              </w:pPr>
                            </w:p>
                          </w:tc>
                        </w:tr>
                      </w:tbl>
                      <w:p w14:paraId="37E4E5F5" w14:textId="77777777" w:rsidR="00803A73" w:rsidRPr="00803A73" w:rsidRDefault="00803A73" w:rsidP="00803A73">
                        <w:pPr>
                          <w:spacing w:after="0" w:line="240" w:lineRule="auto"/>
                        </w:pPr>
                      </w:p>
                    </w:tc>
                  </w:tr>
                </w:tbl>
                <w:p w14:paraId="1096E152"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058744A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3A73" w:rsidRPr="00803A73" w14:paraId="70D6E52F" w14:textId="77777777">
                          <w:trPr>
                            <w:hidden/>
                          </w:trPr>
                          <w:tc>
                            <w:tcPr>
                              <w:tcW w:w="0" w:type="auto"/>
                              <w:tcBorders>
                                <w:top w:val="single" w:sz="12" w:space="0" w:color="106B62"/>
                                <w:left w:val="nil"/>
                                <w:bottom w:val="nil"/>
                                <w:right w:val="nil"/>
                              </w:tcBorders>
                              <w:vAlign w:val="center"/>
                              <w:hideMark/>
                            </w:tcPr>
                            <w:p w14:paraId="074EB087" w14:textId="77777777" w:rsidR="00803A73" w:rsidRPr="00803A73" w:rsidRDefault="00803A73" w:rsidP="00803A73">
                              <w:pPr>
                                <w:spacing w:after="0" w:line="240" w:lineRule="auto"/>
                                <w:rPr>
                                  <w:vanish/>
                                </w:rPr>
                              </w:pPr>
                            </w:p>
                          </w:tc>
                        </w:tr>
                      </w:tbl>
                      <w:p w14:paraId="7F233A7A" w14:textId="77777777" w:rsidR="00803A73" w:rsidRPr="00803A73" w:rsidRDefault="00803A73" w:rsidP="00803A73">
                        <w:pPr>
                          <w:spacing w:after="0" w:line="240" w:lineRule="auto"/>
                        </w:pPr>
                      </w:p>
                    </w:tc>
                  </w:tr>
                </w:tbl>
                <w:p w14:paraId="31613E31"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2C79C7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6138919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40379EE7" w14:textId="77777777">
                                <w:tc>
                                  <w:tcPr>
                                    <w:tcW w:w="0" w:type="auto"/>
                                    <w:tcMar>
                                      <w:top w:w="0" w:type="dxa"/>
                                      <w:left w:w="270" w:type="dxa"/>
                                      <w:bottom w:w="135" w:type="dxa"/>
                                      <w:right w:w="270" w:type="dxa"/>
                                    </w:tcMar>
                                    <w:hideMark/>
                                  </w:tcPr>
                                  <w:p w14:paraId="7A9BA5E1" w14:textId="77777777" w:rsidR="00803A73" w:rsidRPr="00803A73" w:rsidRDefault="00803A73" w:rsidP="00803A73">
                                    <w:pPr>
                                      <w:spacing w:after="0" w:line="240" w:lineRule="auto"/>
                                      <w:rPr>
                                        <w:b/>
                                        <w:bCs/>
                                      </w:rPr>
                                    </w:pPr>
                                    <w:r w:rsidRPr="00803A73">
                                      <w:rPr>
                                        <w:b/>
                                        <w:bCs/>
                                      </w:rPr>
                                      <w:t xml:space="preserve">In this update: Help quantify pharmacy pressures; Pharmacy First urgent supplies briefing; NHS Standard for Reasonable Adjustment flag; Disclosure Regs consultation; </w:t>
                                    </w:r>
                                    <w:proofErr w:type="spellStart"/>
                                    <w:r w:rsidRPr="00803A73">
                                      <w:rPr>
                                        <w:b/>
                                        <w:bCs/>
                                      </w:rPr>
                                      <w:t>KidNaps</w:t>
                                    </w:r>
                                    <w:proofErr w:type="spellEnd"/>
                                    <w:r w:rsidRPr="00803A73">
                                      <w:rPr>
                                        <w:b/>
                                        <w:bCs/>
                                      </w:rPr>
                                      <w:t xml:space="preserve"> recall.</w:t>
                                    </w:r>
                                  </w:p>
                                </w:tc>
                              </w:tr>
                            </w:tbl>
                            <w:p w14:paraId="30D7C8A1" w14:textId="77777777" w:rsidR="00803A73" w:rsidRPr="00803A73" w:rsidRDefault="00803A73" w:rsidP="00803A73">
                              <w:pPr>
                                <w:spacing w:after="0" w:line="240" w:lineRule="auto"/>
                              </w:pPr>
                            </w:p>
                          </w:tc>
                        </w:tr>
                      </w:tbl>
                      <w:p w14:paraId="52373F07" w14:textId="77777777" w:rsidR="00803A73" w:rsidRPr="00803A73" w:rsidRDefault="00803A73" w:rsidP="00803A73">
                        <w:pPr>
                          <w:spacing w:after="0" w:line="240" w:lineRule="auto"/>
                        </w:pPr>
                      </w:p>
                    </w:tc>
                  </w:tr>
                </w:tbl>
                <w:p w14:paraId="56DC2A06"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0905C87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3A73" w:rsidRPr="00803A73" w14:paraId="0E03A4A3" w14:textId="77777777">
                          <w:trPr>
                            <w:hidden/>
                          </w:trPr>
                          <w:tc>
                            <w:tcPr>
                              <w:tcW w:w="0" w:type="auto"/>
                              <w:tcBorders>
                                <w:top w:val="single" w:sz="12" w:space="0" w:color="106B62"/>
                                <w:left w:val="nil"/>
                                <w:bottom w:val="nil"/>
                                <w:right w:val="nil"/>
                              </w:tcBorders>
                              <w:vAlign w:val="center"/>
                              <w:hideMark/>
                            </w:tcPr>
                            <w:p w14:paraId="574505FD" w14:textId="77777777" w:rsidR="00803A73" w:rsidRPr="00803A73" w:rsidRDefault="00803A73" w:rsidP="00803A73">
                              <w:pPr>
                                <w:spacing w:after="0" w:line="240" w:lineRule="auto"/>
                                <w:rPr>
                                  <w:vanish/>
                                </w:rPr>
                              </w:pPr>
                            </w:p>
                          </w:tc>
                        </w:tr>
                      </w:tbl>
                      <w:p w14:paraId="3CCFC001" w14:textId="77777777" w:rsidR="00803A73" w:rsidRPr="00803A73" w:rsidRDefault="00803A73" w:rsidP="00803A73">
                        <w:pPr>
                          <w:spacing w:after="0" w:line="240" w:lineRule="auto"/>
                        </w:pPr>
                      </w:p>
                    </w:tc>
                  </w:tr>
                </w:tbl>
                <w:p w14:paraId="3DE78E56"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6423949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03A73" w:rsidRPr="00803A73" w14:paraId="471912EC" w14:textId="77777777">
                          <w:tc>
                            <w:tcPr>
                              <w:tcW w:w="0" w:type="auto"/>
                              <w:tcMar>
                                <w:top w:w="0" w:type="dxa"/>
                                <w:left w:w="135" w:type="dxa"/>
                                <w:bottom w:w="0" w:type="dxa"/>
                                <w:right w:w="135" w:type="dxa"/>
                              </w:tcMar>
                              <w:hideMark/>
                            </w:tcPr>
                            <w:p w14:paraId="774C59AC" w14:textId="4F555BB5" w:rsidR="00803A73" w:rsidRPr="00803A73" w:rsidRDefault="00803A73" w:rsidP="00803A73">
                              <w:pPr>
                                <w:spacing w:after="0" w:line="240" w:lineRule="auto"/>
                              </w:pPr>
                              <w:r w:rsidRPr="00803A73">
                                <w:drawing>
                                  <wp:inline distT="0" distB="0" distL="0" distR="0" wp14:anchorId="63C385EA" wp14:editId="7632A339">
                                    <wp:extent cx="5372100" cy="1790700"/>
                                    <wp:effectExtent l="0" t="0" r="0" b="0"/>
                                    <wp:docPr id="1733644140"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7F7AFE4" w14:textId="77777777" w:rsidR="00803A73" w:rsidRPr="00803A73" w:rsidRDefault="00803A73" w:rsidP="00803A73">
                        <w:pPr>
                          <w:spacing w:after="0" w:line="240" w:lineRule="auto"/>
                        </w:pPr>
                      </w:p>
                    </w:tc>
                  </w:tr>
                </w:tbl>
                <w:p w14:paraId="44087218"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3FA991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1E8A3B2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1814F1A1" w14:textId="77777777">
                                <w:tc>
                                  <w:tcPr>
                                    <w:tcW w:w="0" w:type="auto"/>
                                    <w:tcMar>
                                      <w:top w:w="0" w:type="dxa"/>
                                      <w:left w:w="270" w:type="dxa"/>
                                      <w:bottom w:w="135" w:type="dxa"/>
                                      <w:right w:w="270" w:type="dxa"/>
                                    </w:tcMar>
                                    <w:hideMark/>
                                  </w:tcPr>
                                  <w:p w14:paraId="130DEB9F" w14:textId="77777777" w:rsidR="00803A73" w:rsidRPr="00803A73" w:rsidRDefault="00803A73" w:rsidP="00803A73">
                                    <w:pPr>
                                      <w:spacing w:after="0" w:line="240" w:lineRule="auto"/>
                                    </w:pPr>
                                    <w:r w:rsidRPr="00803A73">
                                      <w:t>Community Pharmacy England's Pressures Survey is currently underway and we want to hear from as many voices from across the sector as possible.</w:t>
                                    </w:r>
                                    <w:r w:rsidRPr="00803A73">
                                      <w:br/>
                                    </w:r>
                                    <w:r w:rsidRPr="00803A73">
                                      <w:br/>
                                      <w:t>We are urging community pharmacy owners and pharmacy team members across England to help us quantify financial constraints, medicines supply issues, staffing pressures, the impact on patients and much more in our annual survey.</w:t>
                                    </w:r>
                                    <w:r w:rsidRPr="00803A73">
                                      <w:br/>
                                      <w:t> </w:t>
                                    </w:r>
                                    <w:r w:rsidRPr="00803A73">
                                      <w:br/>
                                      <w:t>Please share your experiences on pressing issues around our sector. Every contribution is important in building up the strongest possible picture of the challenges you are facing. </w:t>
                                    </w:r>
                                  </w:p>
                                </w:tc>
                              </w:tr>
                            </w:tbl>
                            <w:p w14:paraId="7686702C" w14:textId="77777777" w:rsidR="00803A73" w:rsidRPr="00803A73" w:rsidRDefault="00803A73" w:rsidP="00803A73">
                              <w:pPr>
                                <w:spacing w:after="0" w:line="240" w:lineRule="auto"/>
                              </w:pPr>
                            </w:p>
                          </w:tc>
                        </w:tr>
                      </w:tbl>
                      <w:p w14:paraId="380C01B0" w14:textId="77777777" w:rsidR="00803A73" w:rsidRPr="00803A73" w:rsidRDefault="00803A73" w:rsidP="00803A73">
                        <w:pPr>
                          <w:spacing w:after="0" w:line="240" w:lineRule="auto"/>
                        </w:pPr>
                      </w:p>
                    </w:tc>
                  </w:tr>
                </w:tbl>
                <w:p w14:paraId="673E0B25"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45FC20E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209"/>
                        </w:tblGrid>
                        <w:tr w:rsidR="00803A73" w:rsidRPr="00803A73" w14:paraId="4223671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23E7BE2" w14:textId="77777777" w:rsidR="00803A73" w:rsidRPr="00803A73" w:rsidRDefault="00803A73" w:rsidP="00803A73">
                              <w:pPr>
                                <w:spacing w:after="0" w:line="240" w:lineRule="auto"/>
                              </w:pPr>
                              <w:hyperlink r:id="rId9" w:tgtFrame="_blank" w:tooltip="Read more and complete the survey" w:history="1">
                                <w:r w:rsidRPr="00803A73">
                                  <w:rPr>
                                    <w:rStyle w:val="Hyperlink"/>
                                    <w:b/>
                                    <w:bCs/>
                                  </w:rPr>
                                  <w:t>Read more and complete the survey</w:t>
                                </w:r>
                              </w:hyperlink>
                              <w:r w:rsidRPr="00803A73">
                                <w:t xml:space="preserve"> </w:t>
                              </w:r>
                            </w:p>
                          </w:tc>
                        </w:tr>
                      </w:tbl>
                      <w:p w14:paraId="6336BCF6" w14:textId="77777777" w:rsidR="00803A73" w:rsidRPr="00803A73" w:rsidRDefault="00803A73" w:rsidP="00803A73">
                        <w:pPr>
                          <w:spacing w:after="0" w:line="240" w:lineRule="auto"/>
                        </w:pPr>
                      </w:p>
                    </w:tc>
                  </w:tr>
                </w:tbl>
                <w:p w14:paraId="748626B6"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4981C1E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3A73" w:rsidRPr="00803A73" w14:paraId="5155C401" w14:textId="77777777">
                          <w:trPr>
                            <w:hidden/>
                          </w:trPr>
                          <w:tc>
                            <w:tcPr>
                              <w:tcW w:w="0" w:type="auto"/>
                              <w:tcBorders>
                                <w:top w:val="single" w:sz="12" w:space="0" w:color="106B62"/>
                                <w:left w:val="nil"/>
                                <w:bottom w:val="nil"/>
                                <w:right w:val="nil"/>
                              </w:tcBorders>
                              <w:vAlign w:val="center"/>
                              <w:hideMark/>
                            </w:tcPr>
                            <w:p w14:paraId="5987FF30" w14:textId="77777777" w:rsidR="00803A73" w:rsidRPr="00803A73" w:rsidRDefault="00803A73" w:rsidP="00803A73">
                              <w:pPr>
                                <w:spacing w:after="0" w:line="240" w:lineRule="auto"/>
                                <w:rPr>
                                  <w:vanish/>
                                </w:rPr>
                              </w:pPr>
                            </w:p>
                          </w:tc>
                        </w:tr>
                      </w:tbl>
                      <w:p w14:paraId="624D45F5" w14:textId="77777777" w:rsidR="00803A73" w:rsidRPr="00803A73" w:rsidRDefault="00803A73" w:rsidP="00803A73">
                        <w:pPr>
                          <w:spacing w:after="0" w:line="240" w:lineRule="auto"/>
                        </w:pPr>
                      </w:p>
                    </w:tc>
                  </w:tr>
                </w:tbl>
                <w:p w14:paraId="11F8F5CB"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010145E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03A73" w:rsidRPr="00803A73" w14:paraId="14C43B9B" w14:textId="77777777">
                          <w:tc>
                            <w:tcPr>
                              <w:tcW w:w="0" w:type="auto"/>
                              <w:tcMar>
                                <w:top w:w="0" w:type="dxa"/>
                                <w:left w:w="135" w:type="dxa"/>
                                <w:bottom w:w="0" w:type="dxa"/>
                                <w:right w:w="135" w:type="dxa"/>
                              </w:tcMar>
                              <w:hideMark/>
                            </w:tcPr>
                            <w:p w14:paraId="16FA20AD" w14:textId="4F1B3EDB" w:rsidR="00803A73" w:rsidRPr="00803A73" w:rsidRDefault="00803A73" w:rsidP="00803A73">
                              <w:pPr>
                                <w:spacing w:after="0" w:line="240" w:lineRule="auto"/>
                              </w:pPr>
                              <w:r w:rsidRPr="00803A73">
                                <w:lastRenderedPageBreak/>
                                <w:drawing>
                                  <wp:inline distT="0" distB="0" distL="0" distR="0" wp14:anchorId="5EF558FE" wp14:editId="59B7AB47">
                                    <wp:extent cx="5372100" cy="1790700"/>
                                    <wp:effectExtent l="0" t="0" r="0" b="0"/>
                                    <wp:docPr id="1906826168" name="Picture 1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72F69F9" w14:textId="77777777" w:rsidR="00803A73" w:rsidRPr="00803A73" w:rsidRDefault="00803A73" w:rsidP="00803A73">
                        <w:pPr>
                          <w:spacing w:after="0" w:line="240" w:lineRule="auto"/>
                        </w:pPr>
                      </w:p>
                    </w:tc>
                  </w:tr>
                </w:tbl>
                <w:p w14:paraId="28E49873"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3CF6DE5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38C1713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30880A3E" w14:textId="77777777">
                                <w:tc>
                                  <w:tcPr>
                                    <w:tcW w:w="0" w:type="auto"/>
                                    <w:tcMar>
                                      <w:top w:w="0" w:type="dxa"/>
                                      <w:left w:w="270" w:type="dxa"/>
                                      <w:bottom w:w="135" w:type="dxa"/>
                                      <w:right w:w="270" w:type="dxa"/>
                                    </w:tcMar>
                                    <w:hideMark/>
                                  </w:tcPr>
                                  <w:p w14:paraId="64B93736" w14:textId="77777777" w:rsidR="00803A73" w:rsidRPr="00803A73" w:rsidRDefault="00803A73" w:rsidP="00803A73">
                                    <w:pPr>
                                      <w:spacing w:after="0" w:line="240" w:lineRule="auto"/>
                                    </w:pPr>
                                    <w:r w:rsidRPr="00803A73">
                                      <w:t>Community Pharmacy England has published a new briefing on the Urgent Supply of Medicines and Appliances strand of the Pharmacy First service.</w:t>
                                    </w:r>
                                    <w:r w:rsidRPr="00803A73">
                                      <w:br/>
                                    </w:r>
                                    <w:r w:rsidRPr="00803A73">
                                      <w:br/>
                                      <w:t>This guide provides information on undertaking patient consultations, handling requests for medicines liable to abuse, and record-keeping requirements to ensure your pharmacy remains fully compliant.</w:t>
                                    </w:r>
                                    <w:r w:rsidRPr="00803A73">
                                      <w:br/>
                                    </w:r>
                                    <w:r w:rsidRPr="00803A73">
                                      <w:br/>
                                    </w:r>
                                    <w:hyperlink r:id="rId12" w:tgtFrame="_blank" w:history="1">
                                      <w:r w:rsidRPr="00803A73">
                                        <w:rPr>
                                          <w:rStyle w:val="Hyperlink"/>
                                        </w:rPr>
                                        <w:t>Read the new briefing</w:t>
                                      </w:r>
                                    </w:hyperlink>
                                  </w:p>
                                </w:tc>
                              </w:tr>
                            </w:tbl>
                            <w:p w14:paraId="6DFDB2CE" w14:textId="77777777" w:rsidR="00803A73" w:rsidRPr="00803A73" w:rsidRDefault="00803A73" w:rsidP="00803A73">
                              <w:pPr>
                                <w:spacing w:after="0" w:line="240" w:lineRule="auto"/>
                              </w:pPr>
                            </w:p>
                          </w:tc>
                        </w:tr>
                      </w:tbl>
                      <w:p w14:paraId="7020FF81" w14:textId="77777777" w:rsidR="00803A73" w:rsidRPr="00803A73" w:rsidRDefault="00803A73" w:rsidP="00803A73">
                        <w:pPr>
                          <w:spacing w:after="0" w:line="240" w:lineRule="auto"/>
                        </w:pPr>
                      </w:p>
                    </w:tc>
                  </w:tr>
                </w:tbl>
                <w:p w14:paraId="65BD8234"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17B673D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3A73" w:rsidRPr="00803A73" w14:paraId="4F90E662" w14:textId="77777777">
                          <w:trPr>
                            <w:hidden/>
                          </w:trPr>
                          <w:tc>
                            <w:tcPr>
                              <w:tcW w:w="0" w:type="auto"/>
                              <w:tcBorders>
                                <w:top w:val="single" w:sz="12" w:space="0" w:color="106B62"/>
                                <w:left w:val="nil"/>
                                <w:bottom w:val="nil"/>
                                <w:right w:val="nil"/>
                              </w:tcBorders>
                              <w:vAlign w:val="center"/>
                              <w:hideMark/>
                            </w:tcPr>
                            <w:p w14:paraId="3238FEBA" w14:textId="77777777" w:rsidR="00803A73" w:rsidRPr="00803A73" w:rsidRDefault="00803A73" w:rsidP="00803A73">
                              <w:pPr>
                                <w:spacing w:after="0" w:line="240" w:lineRule="auto"/>
                                <w:rPr>
                                  <w:vanish/>
                                </w:rPr>
                              </w:pPr>
                            </w:p>
                          </w:tc>
                        </w:tr>
                      </w:tbl>
                      <w:p w14:paraId="04E31C04" w14:textId="77777777" w:rsidR="00803A73" w:rsidRPr="00803A73" w:rsidRDefault="00803A73" w:rsidP="00803A73">
                        <w:pPr>
                          <w:spacing w:after="0" w:line="240" w:lineRule="auto"/>
                        </w:pPr>
                      </w:p>
                    </w:tc>
                  </w:tr>
                </w:tbl>
                <w:p w14:paraId="4D869CED"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31E697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09092CF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08FB95EA" w14:textId="77777777">
                                <w:tc>
                                  <w:tcPr>
                                    <w:tcW w:w="0" w:type="auto"/>
                                    <w:tcMar>
                                      <w:top w:w="0" w:type="dxa"/>
                                      <w:left w:w="270" w:type="dxa"/>
                                      <w:bottom w:w="135" w:type="dxa"/>
                                      <w:right w:w="270" w:type="dxa"/>
                                    </w:tcMar>
                                    <w:hideMark/>
                                  </w:tcPr>
                                  <w:p w14:paraId="403F152D" w14:textId="77777777" w:rsidR="00803A73" w:rsidRPr="00803A73" w:rsidRDefault="00803A73" w:rsidP="00803A73">
                                    <w:pPr>
                                      <w:spacing w:after="0" w:line="240" w:lineRule="auto"/>
                                      <w:rPr>
                                        <w:b/>
                                        <w:bCs/>
                                      </w:rPr>
                                    </w:pPr>
                                    <w:r w:rsidRPr="00803A73">
                                      <w:rPr>
                                        <w:b/>
                                        <w:bCs/>
                                      </w:rPr>
                                      <w:t>New NHS Standard for the Reasonable Adjustment Digital Flag (RADF)</w:t>
                                    </w:r>
                                  </w:p>
                                  <w:p w14:paraId="4F1C3A76" w14:textId="77777777" w:rsidR="00803A73" w:rsidRPr="00803A73" w:rsidRDefault="00803A73" w:rsidP="00803A73">
                                    <w:pPr>
                                      <w:spacing w:after="0" w:line="240" w:lineRule="auto"/>
                                    </w:pPr>
                                    <w:r w:rsidRPr="00803A73">
                                      <w:t>The NHS has introduced a mandatory Information Standard for the Reasonable Adjustment Digital Flag (RADF), which records patient support needs such as sensory adjustments.</w:t>
                                    </w:r>
                                    <w:r w:rsidRPr="00803A73">
                                      <w:br/>
                                    </w:r>
                                    <w:r w:rsidRPr="00803A73">
                                      <w:br/>
                                      <w:t>All providers must be able to read and share patient support needs by 30th September 2026, but community pharmacies already meet these requirements through access to the National Care Record Service (NCRS) — no IT changes are needed. </w:t>
                                    </w:r>
                                    <w:r w:rsidRPr="00803A73">
                                      <w:br/>
                                    </w:r>
                                    <w:r w:rsidRPr="00803A73">
                                      <w:br/>
                                    </w:r>
                                    <w:hyperlink r:id="rId13" w:tgtFrame="_blank" w:history="1">
                                      <w:r w:rsidRPr="00803A73">
                                        <w:rPr>
                                          <w:rStyle w:val="Hyperlink"/>
                                        </w:rPr>
                                        <w:t>Tell me more</w:t>
                                      </w:r>
                                    </w:hyperlink>
                                  </w:p>
                                </w:tc>
                              </w:tr>
                            </w:tbl>
                            <w:p w14:paraId="36B2EBB4" w14:textId="77777777" w:rsidR="00803A73" w:rsidRPr="00803A73" w:rsidRDefault="00803A73" w:rsidP="00803A73">
                              <w:pPr>
                                <w:spacing w:after="0" w:line="240" w:lineRule="auto"/>
                              </w:pPr>
                            </w:p>
                          </w:tc>
                        </w:tr>
                      </w:tbl>
                      <w:p w14:paraId="400F9C29" w14:textId="77777777" w:rsidR="00803A73" w:rsidRPr="00803A73" w:rsidRDefault="00803A73" w:rsidP="00803A73">
                        <w:pPr>
                          <w:spacing w:after="0" w:line="240" w:lineRule="auto"/>
                        </w:pPr>
                      </w:p>
                    </w:tc>
                  </w:tr>
                </w:tbl>
                <w:p w14:paraId="765C608E"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66AEA28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3A73" w:rsidRPr="00803A73" w14:paraId="4EE67E40" w14:textId="77777777">
                          <w:trPr>
                            <w:hidden/>
                          </w:trPr>
                          <w:tc>
                            <w:tcPr>
                              <w:tcW w:w="0" w:type="auto"/>
                              <w:tcBorders>
                                <w:top w:val="single" w:sz="12" w:space="0" w:color="106B62"/>
                                <w:left w:val="nil"/>
                                <w:bottom w:val="nil"/>
                                <w:right w:val="nil"/>
                              </w:tcBorders>
                              <w:vAlign w:val="center"/>
                              <w:hideMark/>
                            </w:tcPr>
                            <w:p w14:paraId="50F12A09" w14:textId="77777777" w:rsidR="00803A73" w:rsidRPr="00803A73" w:rsidRDefault="00803A73" w:rsidP="00803A73">
                              <w:pPr>
                                <w:spacing w:after="0" w:line="240" w:lineRule="auto"/>
                                <w:rPr>
                                  <w:vanish/>
                                </w:rPr>
                              </w:pPr>
                            </w:p>
                          </w:tc>
                        </w:tr>
                      </w:tbl>
                      <w:p w14:paraId="7B863510" w14:textId="77777777" w:rsidR="00803A73" w:rsidRPr="00803A73" w:rsidRDefault="00803A73" w:rsidP="00803A73">
                        <w:pPr>
                          <w:spacing w:after="0" w:line="240" w:lineRule="auto"/>
                        </w:pPr>
                      </w:p>
                    </w:tc>
                  </w:tr>
                </w:tbl>
                <w:p w14:paraId="549D9DF5"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6EC169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7F31D15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72371B06" w14:textId="77777777">
                                <w:tc>
                                  <w:tcPr>
                                    <w:tcW w:w="0" w:type="auto"/>
                                    <w:tcMar>
                                      <w:top w:w="0" w:type="dxa"/>
                                      <w:left w:w="270" w:type="dxa"/>
                                      <w:bottom w:w="135" w:type="dxa"/>
                                      <w:right w:w="270" w:type="dxa"/>
                                    </w:tcMar>
                                    <w:hideMark/>
                                  </w:tcPr>
                                  <w:p w14:paraId="3DC1B172" w14:textId="77777777" w:rsidR="00803A73" w:rsidRPr="00803A73" w:rsidRDefault="00803A73" w:rsidP="00803A73">
                                    <w:pPr>
                                      <w:spacing w:after="0" w:line="240" w:lineRule="auto"/>
                                      <w:rPr>
                                        <w:b/>
                                        <w:bCs/>
                                      </w:rPr>
                                    </w:pPr>
                                    <w:r w:rsidRPr="00803A73">
                                      <w:rPr>
                                        <w:b/>
                                        <w:bCs/>
                                      </w:rPr>
                                      <w:t>DHSC Consultation on the Disclosure Regulations</w:t>
                                    </w:r>
                                  </w:p>
                                  <w:p w14:paraId="4AC13C67" w14:textId="77777777" w:rsidR="00803A73" w:rsidRPr="00803A73" w:rsidRDefault="00803A73" w:rsidP="00803A73">
                                    <w:pPr>
                                      <w:spacing w:after="0" w:line="240" w:lineRule="auto"/>
                                    </w:pPr>
                                    <w:r w:rsidRPr="00803A73">
                                      <w:t>The Department of Health and Social Care (DHSC) is consulting on amendments to the Information and Disclosure Regulations with the aim to ensure reimbursement is more reflective of market conditions and improve DHSC’s ability to mitigate supply issues more cost-effectively.</w:t>
                                    </w:r>
                                    <w:r w:rsidRPr="00803A73">
                                      <w:br/>
                                    </w:r>
                                    <w:r w:rsidRPr="00803A73">
                                      <w:br/>
                                      <w:t>Community Pharmacy England is currently reviewing the impact on pharmacy owners before the consultation closes on 5th May 2026.</w:t>
                                    </w:r>
                                    <w:r w:rsidRPr="00803A73">
                                      <w:br/>
                                    </w:r>
                                    <w:r w:rsidRPr="00803A73">
                                      <w:br/>
                                    </w:r>
                                    <w:hyperlink r:id="rId14" w:tgtFrame="_blank" w:history="1">
                                      <w:r w:rsidRPr="00803A73">
                                        <w:rPr>
                                          <w:rStyle w:val="Hyperlink"/>
                                        </w:rPr>
                                        <w:t>More details here</w:t>
                                      </w:r>
                                    </w:hyperlink>
                                  </w:p>
                                </w:tc>
                              </w:tr>
                            </w:tbl>
                            <w:p w14:paraId="4714ACB1" w14:textId="77777777" w:rsidR="00803A73" w:rsidRPr="00803A73" w:rsidRDefault="00803A73" w:rsidP="00803A73">
                              <w:pPr>
                                <w:spacing w:after="0" w:line="240" w:lineRule="auto"/>
                              </w:pPr>
                            </w:p>
                          </w:tc>
                        </w:tr>
                      </w:tbl>
                      <w:p w14:paraId="35393560" w14:textId="77777777" w:rsidR="00803A73" w:rsidRPr="00803A73" w:rsidRDefault="00803A73" w:rsidP="00803A73">
                        <w:pPr>
                          <w:spacing w:after="0" w:line="240" w:lineRule="auto"/>
                        </w:pPr>
                      </w:p>
                    </w:tc>
                  </w:tr>
                </w:tbl>
                <w:p w14:paraId="0CE74ADA"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608A39A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3A73" w:rsidRPr="00803A73" w14:paraId="4DBFEFF4" w14:textId="77777777">
                          <w:trPr>
                            <w:hidden/>
                          </w:trPr>
                          <w:tc>
                            <w:tcPr>
                              <w:tcW w:w="0" w:type="auto"/>
                              <w:tcBorders>
                                <w:top w:val="single" w:sz="12" w:space="0" w:color="106B62"/>
                                <w:left w:val="nil"/>
                                <w:bottom w:val="nil"/>
                                <w:right w:val="nil"/>
                              </w:tcBorders>
                              <w:vAlign w:val="center"/>
                              <w:hideMark/>
                            </w:tcPr>
                            <w:p w14:paraId="202F32E3" w14:textId="77777777" w:rsidR="00803A73" w:rsidRPr="00803A73" w:rsidRDefault="00803A73" w:rsidP="00803A73">
                              <w:pPr>
                                <w:spacing w:after="0" w:line="240" w:lineRule="auto"/>
                                <w:rPr>
                                  <w:vanish/>
                                </w:rPr>
                              </w:pPr>
                            </w:p>
                          </w:tc>
                        </w:tr>
                      </w:tbl>
                      <w:p w14:paraId="5765340A" w14:textId="77777777" w:rsidR="00803A73" w:rsidRPr="00803A73" w:rsidRDefault="00803A73" w:rsidP="00803A73">
                        <w:pPr>
                          <w:spacing w:after="0" w:line="240" w:lineRule="auto"/>
                        </w:pPr>
                      </w:p>
                    </w:tc>
                  </w:tr>
                </w:tbl>
                <w:p w14:paraId="31D2833A"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7CC1616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30467B1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018145BE" w14:textId="77777777">
                                <w:tc>
                                  <w:tcPr>
                                    <w:tcW w:w="0" w:type="auto"/>
                                    <w:tcMar>
                                      <w:top w:w="0" w:type="dxa"/>
                                      <w:left w:w="270" w:type="dxa"/>
                                      <w:bottom w:w="135" w:type="dxa"/>
                                      <w:right w:w="270" w:type="dxa"/>
                                    </w:tcMar>
                                    <w:hideMark/>
                                  </w:tcPr>
                                  <w:p w14:paraId="74010D73" w14:textId="77777777" w:rsidR="00803A73" w:rsidRPr="00803A73" w:rsidRDefault="00803A73" w:rsidP="00803A73">
                                    <w:pPr>
                                      <w:spacing w:after="0" w:line="240" w:lineRule="auto"/>
                                      <w:rPr>
                                        <w:b/>
                                        <w:bCs/>
                                      </w:rPr>
                                    </w:pPr>
                                    <w:r w:rsidRPr="00803A73">
                                      <w:rPr>
                                        <w:b/>
                                        <w:bCs/>
                                      </w:rPr>
                                      <w:lastRenderedPageBreak/>
                                      <w:t xml:space="preserve">MHRA Class 2 Medicines Recall: </w:t>
                                    </w:r>
                                    <w:proofErr w:type="spellStart"/>
                                    <w:r w:rsidRPr="00803A73">
                                      <w:rPr>
                                        <w:b/>
                                        <w:bCs/>
                                      </w:rPr>
                                      <w:t>KidNaps</w:t>
                                    </w:r>
                                    <w:proofErr w:type="spellEnd"/>
                                    <w:r w:rsidRPr="00803A73">
                                      <w:rPr>
                                        <w:b/>
                                        <w:bCs/>
                                      </w:rPr>
                                      <w:t xml:space="preserve"> (Melatonin) 1mg in 1ml Oral Solution (Sterling Pharmaceuticals Ltd)</w:t>
                                    </w:r>
                                  </w:p>
                                  <w:p w14:paraId="676DFC9F" w14:textId="77777777" w:rsidR="00803A73" w:rsidRPr="00803A73" w:rsidRDefault="00803A73" w:rsidP="00803A73">
                                    <w:pPr>
                                      <w:spacing w:after="0" w:line="240" w:lineRule="auto"/>
                                    </w:pPr>
                                    <w:r w:rsidRPr="00803A73">
                                      <w:t>The Medicines and Healthcare products Regulatory Agency (MHRA) has issued a recall for the </w:t>
                                    </w:r>
                                    <w:proofErr w:type="spellStart"/>
                                    <w:r w:rsidRPr="00803A73">
                                      <w:t>KidNaps</w:t>
                                    </w:r>
                                    <w:proofErr w:type="spellEnd"/>
                                    <w:r w:rsidRPr="00803A73">
                                      <w:t xml:space="preserve"> (Melatonin) 1mg in 1ml Oral Solution (Sterling Pharmaceuticals Ltd), due to out of specification stability results.</w:t>
                                    </w:r>
                                    <w:r w:rsidRPr="00803A73">
                                      <w:br/>
                                    </w:r>
                                    <w:r w:rsidRPr="00803A73">
                                      <w:br/>
                                    </w:r>
                                    <w:hyperlink r:id="rId15" w:tgtFrame="_blank" w:history="1">
                                      <w:r w:rsidRPr="00803A73">
                                        <w:rPr>
                                          <w:rStyle w:val="Hyperlink"/>
                                        </w:rPr>
                                        <w:t>Tell me more</w:t>
                                      </w:r>
                                    </w:hyperlink>
                                  </w:p>
                                </w:tc>
                              </w:tr>
                            </w:tbl>
                            <w:p w14:paraId="575D45AA" w14:textId="77777777" w:rsidR="00803A73" w:rsidRPr="00803A73" w:rsidRDefault="00803A73" w:rsidP="00803A73">
                              <w:pPr>
                                <w:spacing w:after="0" w:line="240" w:lineRule="auto"/>
                              </w:pPr>
                            </w:p>
                          </w:tc>
                        </w:tr>
                      </w:tbl>
                      <w:p w14:paraId="1AEC77EC" w14:textId="77777777" w:rsidR="00803A73" w:rsidRPr="00803A73" w:rsidRDefault="00803A73" w:rsidP="00803A73">
                        <w:pPr>
                          <w:spacing w:after="0" w:line="240" w:lineRule="auto"/>
                        </w:pPr>
                      </w:p>
                    </w:tc>
                  </w:tr>
                </w:tbl>
                <w:p w14:paraId="21C300B1"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5F5371B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3A73" w:rsidRPr="00803A73" w14:paraId="475F71E9" w14:textId="77777777">
                          <w:trPr>
                            <w:hidden/>
                          </w:trPr>
                          <w:tc>
                            <w:tcPr>
                              <w:tcW w:w="0" w:type="auto"/>
                              <w:tcBorders>
                                <w:top w:val="single" w:sz="12" w:space="0" w:color="106B62"/>
                                <w:left w:val="nil"/>
                                <w:bottom w:val="nil"/>
                                <w:right w:val="nil"/>
                              </w:tcBorders>
                              <w:vAlign w:val="center"/>
                              <w:hideMark/>
                            </w:tcPr>
                            <w:p w14:paraId="50FE5067" w14:textId="77777777" w:rsidR="00803A73" w:rsidRPr="00803A73" w:rsidRDefault="00803A73" w:rsidP="00803A73">
                              <w:pPr>
                                <w:spacing w:after="0" w:line="240" w:lineRule="auto"/>
                                <w:rPr>
                                  <w:vanish/>
                                </w:rPr>
                              </w:pPr>
                            </w:p>
                          </w:tc>
                        </w:tr>
                      </w:tbl>
                      <w:p w14:paraId="33A1C01A" w14:textId="77777777" w:rsidR="00803A73" w:rsidRPr="00803A73" w:rsidRDefault="00803A73" w:rsidP="00803A73">
                        <w:pPr>
                          <w:spacing w:after="0" w:line="240" w:lineRule="auto"/>
                        </w:pPr>
                      </w:p>
                    </w:tc>
                  </w:tr>
                </w:tbl>
                <w:p w14:paraId="1F3E9C9A"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4B7319A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03A73" w:rsidRPr="00803A73" w14:paraId="6E760B53" w14:textId="77777777">
                          <w:tc>
                            <w:tcPr>
                              <w:tcW w:w="0" w:type="auto"/>
                              <w:tcMar>
                                <w:top w:w="0" w:type="dxa"/>
                                <w:left w:w="135" w:type="dxa"/>
                                <w:bottom w:w="0" w:type="dxa"/>
                                <w:right w:w="135" w:type="dxa"/>
                              </w:tcMar>
                              <w:hideMark/>
                            </w:tcPr>
                            <w:p w14:paraId="400A83FB" w14:textId="634D9F58" w:rsidR="00803A73" w:rsidRPr="00803A73" w:rsidRDefault="00803A73" w:rsidP="00803A73">
                              <w:pPr>
                                <w:spacing w:after="0" w:line="240" w:lineRule="auto"/>
                              </w:pPr>
                              <w:r w:rsidRPr="00803A73">
                                <w:drawing>
                                  <wp:inline distT="0" distB="0" distL="0" distR="0" wp14:anchorId="0563F333" wp14:editId="68C832B1">
                                    <wp:extent cx="5372100" cy="838200"/>
                                    <wp:effectExtent l="0" t="0" r="0" b="0"/>
                                    <wp:docPr id="2007484477" name="Picture 14"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19D5282" w14:textId="77777777" w:rsidR="00803A73" w:rsidRPr="00803A73" w:rsidRDefault="00803A73" w:rsidP="00803A73">
                        <w:pPr>
                          <w:spacing w:after="0" w:line="240" w:lineRule="auto"/>
                        </w:pPr>
                      </w:p>
                    </w:tc>
                  </w:tr>
                </w:tbl>
                <w:p w14:paraId="19ACAA29"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538B627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03A73" w:rsidRPr="00803A73" w14:paraId="393E9055" w14:textId="77777777">
                          <w:trPr>
                            <w:hidden/>
                          </w:trPr>
                          <w:tc>
                            <w:tcPr>
                              <w:tcW w:w="0" w:type="auto"/>
                              <w:tcBorders>
                                <w:top w:val="single" w:sz="12" w:space="0" w:color="106B62"/>
                                <w:left w:val="nil"/>
                                <w:bottom w:val="nil"/>
                                <w:right w:val="nil"/>
                              </w:tcBorders>
                              <w:vAlign w:val="center"/>
                              <w:hideMark/>
                            </w:tcPr>
                            <w:p w14:paraId="1008B619" w14:textId="77777777" w:rsidR="00803A73" w:rsidRPr="00803A73" w:rsidRDefault="00803A73" w:rsidP="00803A73">
                              <w:pPr>
                                <w:spacing w:after="0" w:line="240" w:lineRule="auto"/>
                                <w:rPr>
                                  <w:vanish/>
                                </w:rPr>
                              </w:pPr>
                            </w:p>
                          </w:tc>
                        </w:tr>
                      </w:tbl>
                      <w:p w14:paraId="3033F003" w14:textId="77777777" w:rsidR="00803A73" w:rsidRPr="00803A73" w:rsidRDefault="00803A73" w:rsidP="00803A73">
                        <w:pPr>
                          <w:spacing w:after="0" w:line="240" w:lineRule="auto"/>
                        </w:pPr>
                      </w:p>
                    </w:tc>
                  </w:tr>
                </w:tbl>
                <w:p w14:paraId="254DD5C9" w14:textId="77777777" w:rsidR="00803A73" w:rsidRPr="00803A73" w:rsidRDefault="00803A73" w:rsidP="00803A73">
                  <w:pPr>
                    <w:spacing w:after="0" w:line="240" w:lineRule="auto"/>
                  </w:pPr>
                </w:p>
              </w:tc>
            </w:tr>
            <w:tr w:rsidR="00803A73" w:rsidRPr="00803A73" w14:paraId="629C913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03A73" w:rsidRPr="00803A73" w14:paraId="73E61C3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803A73" w:rsidRPr="00803A73" w14:paraId="3584201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803A73" w:rsidRPr="00803A73" w14:paraId="18AFF45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03A73" w:rsidRPr="00803A73" w14:paraId="640924F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03A73" w:rsidRPr="00803A73" w14:paraId="05F0EA6E"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03A73" w:rsidRPr="00803A73" w14:paraId="52D2477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03A73" w:rsidRPr="00803A73" w14:paraId="01FCA4F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03A73" w:rsidRPr="00803A73" w14:paraId="357015BF" w14:textId="77777777">
                                                              <w:tc>
                                                                <w:tcPr>
                                                                  <w:tcW w:w="360" w:type="dxa"/>
                                                                  <w:vAlign w:val="center"/>
                                                                  <w:hideMark/>
                                                                </w:tcPr>
                                                                <w:p w14:paraId="057004AD" w14:textId="0E3909D5" w:rsidR="00803A73" w:rsidRPr="00803A73" w:rsidRDefault="00803A73" w:rsidP="00803A73">
                                                                  <w:pPr>
                                                                    <w:spacing w:after="0" w:line="240" w:lineRule="auto"/>
                                                                  </w:pPr>
                                                                  <w:r w:rsidRPr="00803A73">
                                                                    <w:rPr>
                                                                      <w:u w:val="single"/>
                                                                    </w:rPr>
                                                                    <w:lastRenderedPageBreak/>
                                                                    <w:drawing>
                                                                      <wp:inline distT="0" distB="0" distL="0" distR="0" wp14:anchorId="6675A6B8" wp14:editId="11448F45">
                                                                        <wp:extent cx="228600" cy="228600"/>
                                                                        <wp:effectExtent l="0" t="0" r="0" b="0"/>
                                                                        <wp:docPr id="507365974"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FF235E" w14:textId="77777777" w:rsidR="00803A73" w:rsidRPr="00803A73" w:rsidRDefault="00803A73" w:rsidP="00803A73">
                                                            <w:pPr>
                                                              <w:spacing w:after="0" w:line="240" w:lineRule="auto"/>
                                                            </w:pPr>
                                                          </w:p>
                                                        </w:tc>
                                                      </w:tr>
                                                    </w:tbl>
                                                    <w:p w14:paraId="54516D13" w14:textId="77777777" w:rsidR="00803A73" w:rsidRPr="00803A73" w:rsidRDefault="00803A73" w:rsidP="00803A73">
                                                      <w:pPr>
                                                        <w:spacing w:after="0" w:line="240" w:lineRule="auto"/>
                                                      </w:pPr>
                                                    </w:p>
                                                  </w:tc>
                                                </w:tr>
                                              </w:tbl>
                                              <w:p w14:paraId="680CC811" w14:textId="77777777" w:rsidR="00803A73" w:rsidRPr="00803A73" w:rsidRDefault="00803A73" w:rsidP="00803A7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03A73" w:rsidRPr="00803A73" w14:paraId="3AF4F4C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03A73" w:rsidRPr="00803A73" w14:paraId="06ECFC8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03A73" w:rsidRPr="00803A73" w14:paraId="17824731" w14:textId="77777777">
                                                              <w:tc>
                                                                <w:tcPr>
                                                                  <w:tcW w:w="360" w:type="dxa"/>
                                                                  <w:vAlign w:val="center"/>
                                                                  <w:hideMark/>
                                                                </w:tcPr>
                                                                <w:p w14:paraId="4D642F95" w14:textId="0AEFCB1B" w:rsidR="00803A73" w:rsidRPr="00803A73" w:rsidRDefault="00803A73" w:rsidP="00803A73">
                                                                  <w:pPr>
                                                                    <w:spacing w:after="0" w:line="240" w:lineRule="auto"/>
                                                                  </w:pPr>
                                                                  <w:r w:rsidRPr="00803A73">
                                                                    <w:rPr>
                                                                      <w:u w:val="single"/>
                                                                    </w:rPr>
                                                                    <w:drawing>
                                                                      <wp:inline distT="0" distB="0" distL="0" distR="0" wp14:anchorId="4A89CDB7" wp14:editId="44B5BBBB">
                                                                        <wp:extent cx="228600" cy="228600"/>
                                                                        <wp:effectExtent l="0" t="0" r="0" b="0"/>
                                                                        <wp:docPr id="1805990871"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F1D107" w14:textId="77777777" w:rsidR="00803A73" w:rsidRPr="00803A73" w:rsidRDefault="00803A73" w:rsidP="00803A73">
                                                            <w:pPr>
                                                              <w:spacing w:after="0" w:line="240" w:lineRule="auto"/>
                                                            </w:pPr>
                                                          </w:p>
                                                        </w:tc>
                                                      </w:tr>
                                                    </w:tbl>
                                                    <w:p w14:paraId="4CA04146" w14:textId="77777777" w:rsidR="00803A73" w:rsidRPr="00803A73" w:rsidRDefault="00803A73" w:rsidP="00803A73">
                                                      <w:pPr>
                                                        <w:spacing w:after="0" w:line="240" w:lineRule="auto"/>
                                                      </w:pPr>
                                                    </w:p>
                                                  </w:tc>
                                                </w:tr>
                                              </w:tbl>
                                              <w:p w14:paraId="625FEBD5" w14:textId="77777777" w:rsidR="00803A73" w:rsidRPr="00803A73" w:rsidRDefault="00803A73" w:rsidP="00803A7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03A73" w:rsidRPr="00803A73" w14:paraId="04573C8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03A73" w:rsidRPr="00803A73" w14:paraId="5C36993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03A73" w:rsidRPr="00803A73" w14:paraId="03C11A5F" w14:textId="77777777">
                                                              <w:tc>
                                                                <w:tcPr>
                                                                  <w:tcW w:w="360" w:type="dxa"/>
                                                                  <w:vAlign w:val="center"/>
                                                                  <w:hideMark/>
                                                                </w:tcPr>
                                                                <w:p w14:paraId="14E72D4A" w14:textId="3D824819" w:rsidR="00803A73" w:rsidRPr="00803A73" w:rsidRDefault="00803A73" w:rsidP="00803A73">
                                                                  <w:pPr>
                                                                    <w:spacing w:after="0" w:line="240" w:lineRule="auto"/>
                                                                  </w:pPr>
                                                                  <w:r w:rsidRPr="00803A73">
                                                                    <w:rPr>
                                                                      <w:u w:val="single"/>
                                                                    </w:rPr>
                                                                    <w:drawing>
                                                                      <wp:inline distT="0" distB="0" distL="0" distR="0" wp14:anchorId="23A5BC66" wp14:editId="41E306A2">
                                                                        <wp:extent cx="228600" cy="228600"/>
                                                                        <wp:effectExtent l="0" t="0" r="0" b="0"/>
                                                                        <wp:docPr id="637347990"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1D619D" w14:textId="77777777" w:rsidR="00803A73" w:rsidRPr="00803A73" w:rsidRDefault="00803A73" w:rsidP="00803A73">
                                                            <w:pPr>
                                                              <w:spacing w:after="0" w:line="240" w:lineRule="auto"/>
                                                            </w:pPr>
                                                          </w:p>
                                                        </w:tc>
                                                      </w:tr>
                                                    </w:tbl>
                                                    <w:p w14:paraId="35A13411" w14:textId="77777777" w:rsidR="00803A73" w:rsidRPr="00803A73" w:rsidRDefault="00803A73" w:rsidP="00803A73">
                                                      <w:pPr>
                                                        <w:spacing w:after="0" w:line="240" w:lineRule="auto"/>
                                                      </w:pPr>
                                                    </w:p>
                                                  </w:tc>
                                                </w:tr>
                                              </w:tbl>
                                              <w:p w14:paraId="21B9E468" w14:textId="77777777" w:rsidR="00803A73" w:rsidRPr="00803A73" w:rsidRDefault="00803A73" w:rsidP="00803A73">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803A73" w:rsidRPr="00803A73" w14:paraId="72314F7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03A73" w:rsidRPr="00803A73" w14:paraId="67575F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03A73" w:rsidRPr="00803A73" w14:paraId="7D58692D" w14:textId="77777777">
                                                              <w:tc>
                                                                <w:tcPr>
                                                                  <w:tcW w:w="360" w:type="dxa"/>
                                                                  <w:vAlign w:val="center"/>
                                                                  <w:hideMark/>
                                                                </w:tcPr>
                                                                <w:p w14:paraId="737C29B1" w14:textId="5B8172F8" w:rsidR="00803A73" w:rsidRPr="00803A73" w:rsidRDefault="00803A73" w:rsidP="00803A73">
                                                                  <w:pPr>
                                                                    <w:spacing w:after="0" w:line="240" w:lineRule="auto"/>
                                                                  </w:pPr>
                                                                  <w:r w:rsidRPr="00803A73">
                                                                    <w:rPr>
                                                                      <w:u w:val="single"/>
                                                                    </w:rPr>
                                                                    <w:drawing>
                                                                      <wp:inline distT="0" distB="0" distL="0" distR="0" wp14:anchorId="28396382" wp14:editId="50836333">
                                                                        <wp:extent cx="228600" cy="228600"/>
                                                                        <wp:effectExtent l="0" t="0" r="0" b="0"/>
                                                                        <wp:docPr id="841811421"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C7E98B" w14:textId="77777777" w:rsidR="00803A73" w:rsidRPr="00803A73" w:rsidRDefault="00803A73" w:rsidP="00803A73">
                                                            <w:pPr>
                                                              <w:spacing w:after="0" w:line="240" w:lineRule="auto"/>
                                                            </w:pPr>
                                                          </w:p>
                                                        </w:tc>
                                                      </w:tr>
                                                    </w:tbl>
                                                    <w:p w14:paraId="1DFC46B5" w14:textId="77777777" w:rsidR="00803A73" w:rsidRPr="00803A73" w:rsidRDefault="00803A73" w:rsidP="00803A73">
                                                      <w:pPr>
                                                        <w:spacing w:after="0" w:line="240" w:lineRule="auto"/>
                                                      </w:pPr>
                                                    </w:p>
                                                  </w:tc>
                                                </w:tr>
                                              </w:tbl>
                                              <w:p w14:paraId="68C26D88" w14:textId="77777777" w:rsidR="00803A73" w:rsidRPr="00803A73" w:rsidRDefault="00803A73" w:rsidP="00803A73">
                                                <w:pPr>
                                                  <w:spacing w:after="0" w:line="240" w:lineRule="auto"/>
                                                </w:pPr>
                                              </w:p>
                                            </w:tc>
                                          </w:tr>
                                        </w:tbl>
                                        <w:p w14:paraId="065E2048" w14:textId="77777777" w:rsidR="00803A73" w:rsidRPr="00803A73" w:rsidRDefault="00803A73" w:rsidP="00803A73">
                                          <w:pPr>
                                            <w:spacing w:after="0" w:line="240" w:lineRule="auto"/>
                                          </w:pPr>
                                        </w:p>
                                      </w:tc>
                                    </w:tr>
                                  </w:tbl>
                                  <w:p w14:paraId="4DDC54D9" w14:textId="77777777" w:rsidR="00803A73" w:rsidRPr="00803A73" w:rsidRDefault="00803A73" w:rsidP="00803A73">
                                    <w:pPr>
                                      <w:spacing w:after="0" w:line="240" w:lineRule="auto"/>
                                    </w:pPr>
                                  </w:p>
                                </w:tc>
                              </w:tr>
                            </w:tbl>
                            <w:p w14:paraId="313E13A3" w14:textId="77777777" w:rsidR="00803A73" w:rsidRPr="00803A73" w:rsidRDefault="00803A73" w:rsidP="00803A73">
                              <w:pPr>
                                <w:spacing w:after="0" w:line="240" w:lineRule="auto"/>
                              </w:pPr>
                            </w:p>
                          </w:tc>
                        </w:tr>
                      </w:tbl>
                      <w:p w14:paraId="28D0F8D0" w14:textId="77777777" w:rsidR="00803A73" w:rsidRPr="00803A73" w:rsidRDefault="00803A73" w:rsidP="00803A73">
                        <w:pPr>
                          <w:spacing w:after="0" w:line="240" w:lineRule="auto"/>
                        </w:pPr>
                      </w:p>
                    </w:tc>
                  </w:tr>
                </w:tbl>
                <w:p w14:paraId="5DD4CC28" w14:textId="77777777" w:rsidR="00803A73" w:rsidRPr="00803A73" w:rsidRDefault="00803A73" w:rsidP="00803A73">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03A73" w:rsidRPr="00803A73" w14:paraId="279D3A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1CBC4DB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03A73" w:rsidRPr="00803A73" w14:paraId="2BA84393" w14:textId="77777777">
                                <w:tc>
                                  <w:tcPr>
                                    <w:tcW w:w="0" w:type="auto"/>
                                    <w:tcMar>
                                      <w:top w:w="0" w:type="dxa"/>
                                      <w:left w:w="270" w:type="dxa"/>
                                      <w:bottom w:w="135" w:type="dxa"/>
                                      <w:right w:w="270" w:type="dxa"/>
                                    </w:tcMar>
                                    <w:hideMark/>
                                  </w:tcPr>
                                  <w:p w14:paraId="47A90FA5" w14:textId="77777777" w:rsidR="00803A73" w:rsidRPr="00803A73" w:rsidRDefault="00803A73" w:rsidP="00803A73">
                                    <w:pPr>
                                      <w:spacing w:after="0" w:line="240" w:lineRule="auto"/>
                                      <w:jc w:val="center"/>
                                    </w:pPr>
                                    <w:r w:rsidRPr="00803A73">
                                      <w:rPr>
                                        <w:b/>
                                        <w:bCs/>
                                      </w:rPr>
                                      <w:t>Community Pharmacy England</w:t>
                                    </w:r>
                                    <w:r w:rsidRPr="00803A73">
                                      <w:br/>
                                      <w:t>Address: 14 Hosier Lane, London EC1A 9LQ</w:t>
                                    </w:r>
                                    <w:r w:rsidRPr="00803A73">
                                      <w:br/>
                                      <w:t xml:space="preserve">Tel: 0203 1220 810 | Email: </w:t>
                                    </w:r>
                                    <w:hyperlink r:id="rId26" w:history="1">
                                      <w:r w:rsidRPr="00803A73">
                                        <w:rPr>
                                          <w:rStyle w:val="Hyperlink"/>
                                        </w:rPr>
                                        <w:t>comms.team@cpe.org.uk</w:t>
                                      </w:r>
                                    </w:hyperlink>
                                  </w:p>
                                  <w:p w14:paraId="3BCA031C" w14:textId="77777777" w:rsidR="00803A73" w:rsidRPr="00803A73" w:rsidRDefault="00803A73" w:rsidP="00803A73">
                                    <w:pPr>
                                      <w:spacing w:after="0" w:line="240" w:lineRule="auto"/>
                                      <w:jc w:val="center"/>
                                    </w:pPr>
                                    <w:r w:rsidRPr="00803A73">
                                      <w:rPr>
                                        <w:i/>
                                        <w:iCs/>
                                      </w:rPr>
                                      <w:t xml:space="preserve">Copyright © 2026 Community Pharmacy England, </w:t>
                                    </w:r>
                                    <w:proofErr w:type="gramStart"/>
                                    <w:r w:rsidRPr="00803A73">
                                      <w:rPr>
                                        <w:i/>
                                        <w:iCs/>
                                      </w:rPr>
                                      <w:t>All</w:t>
                                    </w:r>
                                    <w:proofErr w:type="gramEnd"/>
                                    <w:r w:rsidRPr="00803A73">
                                      <w:rPr>
                                        <w:i/>
                                        <w:iCs/>
                                      </w:rPr>
                                      <w:t xml:space="preserve"> rights reserved.</w:t>
                                    </w:r>
                                  </w:p>
                                  <w:p w14:paraId="4A334343" w14:textId="62FE8816" w:rsidR="00803A73" w:rsidRPr="00803A73" w:rsidRDefault="00803A73" w:rsidP="00803A73">
                                    <w:pPr>
                                      <w:spacing w:after="0" w:line="240" w:lineRule="auto"/>
                                      <w:jc w:val="center"/>
                                    </w:pPr>
                                    <w:r w:rsidRPr="00803A73">
                                      <w:t>You are receiving this email because you are subscribed to our newsletters. Community Pharmacy England is the operating name of the Pharmaceutical Services Negotiating Committee (PSNC).</w:t>
                                    </w:r>
                                  </w:p>
                                </w:tc>
                              </w:tr>
                            </w:tbl>
                            <w:p w14:paraId="713516E5" w14:textId="77777777" w:rsidR="00803A73" w:rsidRPr="00803A73" w:rsidRDefault="00803A73" w:rsidP="00803A73">
                              <w:pPr>
                                <w:spacing w:after="0" w:line="240" w:lineRule="auto"/>
                              </w:pPr>
                            </w:p>
                          </w:tc>
                        </w:tr>
                      </w:tbl>
                      <w:p w14:paraId="7EFF6A48" w14:textId="77777777" w:rsidR="00803A73" w:rsidRPr="00803A73" w:rsidRDefault="00803A73" w:rsidP="00803A73">
                        <w:pPr>
                          <w:spacing w:after="0" w:line="240" w:lineRule="auto"/>
                        </w:pPr>
                      </w:p>
                    </w:tc>
                  </w:tr>
                </w:tbl>
                <w:p w14:paraId="55D83600" w14:textId="77777777" w:rsidR="00803A73" w:rsidRPr="00803A73" w:rsidRDefault="00803A73" w:rsidP="00803A73">
                  <w:pPr>
                    <w:spacing w:after="0" w:line="240" w:lineRule="auto"/>
                  </w:pPr>
                </w:p>
              </w:tc>
            </w:tr>
          </w:tbl>
          <w:p w14:paraId="2B7CB8F0" w14:textId="77777777" w:rsidR="00803A73" w:rsidRPr="00803A73" w:rsidRDefault="00803A73" w:rsidP="00803A73">
            <w:pPr>
              <w:spacing w:after="0" w:line="240" w:lineRule="auto"/>
            </w:pPr>
          </w:p>
        </w:tc>
      </w:tr>
    </w:tbl>
    <w:p w14:paraId="09923B3E"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73"/>
    <w:rsid w:val="002E3366"/>
    <w:rsid w:val="00413E92"/>
    <w:rsid w:val="006A6164"/>
    <w:rsid w:val="00803A73"/>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0927"/>
  <w15:chartTrackingRefBased/>
  <w15:docId w15:val="{9AFA02A1-3482-423C-B1F3-38C307E3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A73"/>
    <w:rPr>
      <w:rFonts w:eastAsiaTheme="majorEastAsia" w:cstheme="majorBidi"/>
      <w:color w:val="272727" w:themeColor="text1" w:themeTint="D8"/>
    </w:rPr>
  </w:style>
  <w:style w:type="paragraph" w:styleId="Title">
    <w:name w:val="Title"/>
    <w:basedOn w:val="Normal"/>
    <w:next w:val="Normal"/>
    <w:link w:val="TitleChar"/>
    <w:uiPriority w:val="10"/>
    <w:qFormat/>
    <w:rsid w:val="00803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A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A73"/>
    <w:rPr>
      <w:i/>
      <w:iCs/>
      <w:color w:val="404040" w:themeColor="text1" w:themeTint="BF"/>
    </w:rPr>
  </w:style>
  <w:style w:type="paragraph" w:styleId="ListParagraph">
    <w:name w:val="List Paragraph"/>
    <w:basedOn w:val="Normal"/>
    <w:uiPriority w:val="34"/>
    <w:qFormat/>
    <w:rsid w:val="00803A73"/>
    <w:pPr>
      <w:ind w:left="720"/>
      <w:contextualSpacing/>
    </w:pPr>
  </w:style>
  <w:style w:type="character" w:styleId="IntenseEmphasis">
    <w:name w:val="Intense Emphasis"/>
    <w:basedOn w:val="DefaultParagraphFont"/>
    <w:uiPriority w:val="21"/>
    <w:qFormat/>
    <w:rsid w:val="00803A73"/>
    <w:rPr>
      <w:i/>
      <w:iCs/>
      <w:color w:val="0F4761" w:themeColor="accent1" w:themeShade="BF"/>
    </w:rPr>
  </w:style>
  <w:style w:type="paragraph" w:styleId="IntenseQuote">
    <w:name w:val="Intense Quote"/>
    <w:basedOn w:val="Normal"/>
    <w:next w:val="Normal"/>
    <w:link w:val="IntenseQuoteChar"/>
    <w:uiPriority w:val="30"/>
    <w:qFormat/>
    <w:rsid w:val="00803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A73"/>
    <w:rPr>
      <w:i/>
      <w:iCs/>
      <w:color w:val="0F4761" w:themeColor="accent1" w:themeShade="BF"/>
    </w:rPr>
  </w:style>
  <w:style w:type="character" w:styleId="IntenseReference">
    <w:name w:val="Intense Reference"/>
    <w:basedOn w:val="DefaultParagraphFont"/>
    <w:uiPriority w:val="32"/>
    <w:qFormat/>
    <w:rsid w:val="00803A73"/>
    <w:rPr>
      <w:b/>
      <w:bCs/>
      <w:smallCaps/>
      <w:color w:val="0F4761" w:themeColor="accent1" w:themeShade="BF"/>
      <w:spacing w:val="5"/>
    </w:rPr>
  </w:style>
  <w:style w:type="character" w:styleId="Hyperlink">
    <w:name w:val="Hyperlink"/>
    <w:basedOn w:val="DefaultParagraphFont"/>
    <w:uiPriority w:val="99"/>
    <w:unhideWhenUsed/>
    <w:rsid w:val="00803A73"/>
    <w:rPr>
      <w:color w:val="467886" w:themeColor="hyperlink"/>
      <w:u w:val="single"/>
    </w:rPr>
  </w:style>
  <w:style w:type="character" w:styleId="UnresolvedMention">
    <w:name w:val="Unresolved Mention"/>
    <w:basedOn w:val="DefaultParagraphFont"/>
    <w:uiPriority w:val="99"/>
    <w:semiHidden/>
    <w:unhideWhenUsed/>
    <w:rsid w:val="0080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2bee77d239&amp;e=d19e9fd41c" TargetMode="External"/><Relationship Id="rId18" Type="http://schemas.openxmlformats.org/officeDocument/2006/relationships/hyperlink" Target="https://cpe.us7.list-manage.com/track/click?u=86d41ab7fa4c7c2c5d7210782&amp;id=7c47033980&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495c8b8951&amp;e=d19e9fd41c" TargetMode="External"/><Relationship Id="rId12" Type="http://schemas.openxmlformats.org/officeDocument/2006/relationships/hyperlink" Target="https://cpe.us7.list-manage.com/track/click?u=86d41ab7fa4c7c2c5d7210782&amp;id=93c33ed55a&amp;e=d19e9fd41c"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e4c906fcdb&amp;e=d19e9fd41c" TargetMode="External"/><Relationship Id="rId20" Type="http://schemas.openxmlformats.org/officeDocument/2006/relationships/hyperlink" Target="https://cpe.us7.list-manage.com/track/click?u=86d41ab7fa4c7c2c5d7210782&amp;id=23c5401774&amp;e=d19e9fd41c"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1e412f7761&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e00723b11a&amp;e=d19e9fd41c"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cpe.us7.list-manage.com/track/click?u=86d41ab7fa4c7c2c5d7210782&amp;id=de2214a846&amp;e=d19e9fd41c" TargetMode="External"/><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hyperlink" Target="https://cpe.us7.list-manage.com/track/click?u=86d41ab7fa4c7c2c5d7210782&amp;id=a07b112962&amp;e=d19e9fd41c" TargetMode="External"/><Relationship Id="rId9" Type="http://schemas.openxmlformats.org/officeDocument/2006/relationships/hyperlink" Target="https://cpe.us7.list-manage.com/track/click?u=86d41ab7fa4c7c2c5d7210782&amp;id=475440f6ff&amp;e=d19e9fd41c" TargetMode="External"/><Relationship Id="rId14" Type="http://schemas.openxmlformats.org/officeDocument/2006/relationships/hyperlink" Target="https://cpe.us7.list-manage.com/track/click?u=86d41ab7fa4c7c2c5d7210782&amp;id=1b3af456b8&amp;e=d19e9fd41c" TargetMode="External"/><Relationship Id="rId22" Type="http://schemas.openxmlformats.org/officeDocument/2006/relationships/hyperlink" Target="https://cpe.us7.list-manage.com/track/click?u=86d41ab7fa4c7c2c5d7210782&amp;id=e08dd32e64&amp;e=d19e9fd41c"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D835E437-7885-41CE-887B-7ACF1E14452B}"/>
</file>

<file path=customXml/itemProps2.xml><?xml version="1.0" encoding="utf-8"?>
<ds:datastoreItem xmlns:ds="http://schemas.openxmlformats.org/officeDocument/2006/customXml" ds:itemID="{7581B1FC-6B8A-4C22-8F36-A7A801CE8353}"/>
</file>

<file path=customXml/itemProps3.xml><?xml version="1.0" encoding="utf-8"?>
<ds:datastoreItem xmlns:ds="http://schemas.openxmlformats.org/officeDocument/2006/customXml" ds:itemID="{0350BC62-AC30-489F-8B95-06EA05A502DB}"/>
</file>

<file path=docProps/app.xml><?xml version="1.0" encoding="utf-8"?>
<Properties xmlns="http://schemas.openxmlformats.org/officeDocument/2006/extended-properties" xmlns:vt="http://schemas.openxmlformats.org/officeDocument/2006/docPropsVTypes">
  <Template>Normal.dotm</Template>
  <TotalTime>2</TotalTime>
  <Pages>3</Pages>
  <Words>567</Words>
  <Characters>3314</Characters>
  <Application>Microsoft Office Word</Application>
  <DocSecurity>0</DocSecurity>
  <Lines>174</Lines>
  <Paragraphs>25</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2026-02-24T09:48:00Z</dcterms:created>
  <dcterms:modified xsi:type="dcterms:W3CDTF">2026-02-24T09:50:00Z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