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B6FFF" w:rsidRPr="00BB6FFF" w14:paraId="28DBC32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B6FFF" w:rsidRPr="00BB6FFF" w14:paraId="32D0D0A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B6FFF" w:rsidRPr="00BB6FFF" w14:paraId="48F832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05B56F8F" w14:textId="77777777">
                          <w:tc>
                            <w:tcPr>
                              <w:tcW w:w="9000" w:type="dxa"/>
                              <w:hideMark/>
                            </w:tcPr>
                            <w:p w14:paraId="5FBD8C1F" w14:textId="77777777" w:rsidR="00BB6FFF" w:rsidRPr="00BB6FFF" w:rsidRDefault="00BB6FFF" w:rsidP="00BB6FFF">
                              <w:pPr>
                                <w:spacing w:after="0" w:line="240" w:lineRule="auto"/>
                              </w:pPr>
                            </w:p>
                          </w:tc>
                        </w:tr>
                      </w:tbl>
                      <w:p w14:paraId="1C8582D0" w14:textId="77777777" w:rsidR="00BB6FFF" w:rsidRPr="00BB6FFF" w:rsidRDefault="00BB6FFF" w:rsidP="00BB6FFF">
                        <w:pPr>
                          <w:spacing w:after="0" w:line="240" w:lineRule="auto"/>
                        </w:pPr>
                      </w:p>
                    </w:tc>
                  </w:tr>
                </w:tbl>
                <w:p w14:paraId="74B3DA76" w14:textId="77777777" w:rsidR="00BB6FFF" w:rsidRPr="00BB6FFF" w:rsidRDefault="00BB6FFF" w:rsidP="00BB6FFF">
                  <w:pPr>
                    <w:spacing w:after="0" w:line="240" w:lineRule="auto"/>
                  </w:pPr>
                </w:p>
              </w:tc>
            </w:tr>
            <w:tr w:rsidR="00BB6FFF" w:rsidRPr="00BB6FFF" w14:paraId="1088EF3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B6FFF" w:rsidRPr="00BB6FFF" w14:paraId="2E89D22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B6FFF" w:rsidRPr="00BB6FFF" w14:paraId="2F1E43E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B6FFF" w:rsidRPr="00BB6FFF" w14:paraId="6230F7F3" w14:textId="77777777">
                                <w:tc>
                                  <w:tcPr>
                                    <w:tcW w:w="0" w:type="auto"/>
                                    <w:hideMark/>
                                  </w:tcPr>
                                  <w:p w14:paraId="0FE1BD89" w14:textId="577633A8" w:rsidR="00BB6FFF" w:rsidRPr="00BB6FFF" w:rsidRDefault="00BB6FFF" w:rsidP="00BB6FFF">
                                    <w:pPr>
                                      <w:spacing w:after="0" w:line="240" w:lineRule="auto"/>
                                    </w:pPr>
                                    <w:r w:rsidRPr="00BB6FFF">
                                      <w:drawing>
                                        <wp:inline distT="0" distB="0" distL="0" distR="0" wp14:anchorId="061D038A" wp14:editId="305C13F4">
                                          <wp:extent cx="2514600" cy="812800"/>
                                          <wp:effectExtent l="0" t="0" r="0" b="6350"/>
                                          <wp:docPr id="2004708452"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B6FFF" w:rsidRPr="00BB6FFF" w14:paraId="6AC64E28" w14:textId="77777777">
                                <w:tc>
                                  <w:tcPr>
                                    <w:tcW w:w="0" w:type="auto"/>
                                    <w:hideMark/>
                                  </w:tcPr>
                                  <w:p w14:paraId="0BA5148D" w14:textId="77777777" w:rsidR="00BB6FFF" w:rsidRPr="00BB6FFF" w:rsidRDefault="00BB6FFF" w:rsidP="00BB6FFF">
                                    <w:pPr>
                                      <w:spacing w:after="0" w:line="240" w:lineRule="auto"/>
                                      <w:jc w:val="right"/>
                                      <w:rPr>
                                        <w:b/>
                                        <w:bCs/>
                                        <w:sz w:val="36"/>
                                        <w:szCs w:val="36"/>
                                      </w:rPr>
                                    </w:pPr>
                                    <w:r w:rsidRPr="00BB6FFF">
                                      <w:rPr>
                                        <w:b/>
                                        <w:bCs/>
                                        <w:sz w:val="36"/>
                                        <w:szCs w:val="36"/>
                                      </w:rPr>
                                      <w:t>Newsletter</w:t>
                                    </w:r>
                                  </w:p>
                                  <w:p w14:paraId="57120E95" w14:textId="77777777" w:rsidR="00BB6FFF" w:rsidRPr="00BB6FFF" w:rsidRDefault="00BB6FFF" w:rsidP="00BB6FFF">
                                    <w:pPr>
                                      <w:spacing w:after="0" w:line="240" w:lineRule="auto"/>
                                      <w:jc w:val="right"/>
                                    </w:pPr>
                                    <w:r w:rsidRPr="00BB6FFF">
                                      <w:rPr>
                                        <w:sz w:val="36"/>
                                        <w:szCs w:val="36"/>
                                      </w:rPr>
                                      <w:t>18th May 2026</w:t>
                                    </w:r>
                                  </w:p>
                                </w:tc>
                              </w:tr>
                            </w:tbl>
                            <w:p w14:paraId="54B1412D" w14:textId="77777777" w:rsidR="00BB6FFF" w:rsidRPr="00BB6FFF" w:rsidRDefault="00BB6FFF" w:rsidP="00BB6FFF">
                              <w:pPr>
                                <w:spacing w:after="0" w:line="240" w:lineRule="auto"/>
                              </w:pPr>
                            </w:p>
                          </w:tc>
                        </w:tr>
                      </w:tbl>
                      <w:p w14:paraId="371EAAC3" w14:textId="77777777" w:rsidR="00BB6FFF" w:rsidRPr="00BB6FFF" w:rsidRDefault="00BB6FFF" w:rsidP="00BB6FFF">
                        <w:pPr>
                          <w:spacing w:after="0" w:line="240" w:lineRule="auto"/>
                        </w:pPr>
                      </w:p>
                    </w:tc>
                  </w:tr>
                </w:tbl>
                <w:p w14:paraId="784F2D47" w14:textId="77777777" w:rsidR="00BB6FFF" w:rsidRPr="00BB6FFF" w:rsidRDefault="00BB6FFF" w:rsidP="00BB6FFF">
                  <w:pPr>
                    <w:spacing w:after="0" w:line="240" w:lineRule="auto"/>
                  </w:pPr>
                </w:p>
              </w:tc>
            </w:tr>
            <w:tr w:rsidR="00BB6FFF" w:rsidRPr="00BB6FFF" w14:paraId="46B8C52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B6FFF" w:rsidRPr="00BB6FFF" w14:paraId="050CB80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6FFF" w:rsidRPr="00BB6FFF" w14:paraId="6ED33813" w14:textId="77777777">
                          <w:tc>
                            <w:tcPr>
                              <w:tcW w:w="0" w:type="auto"/>
                              <w:tcMar>
                                <w:top w:w="0" w:type="dxa"/>
                                <w:left w:w="135" w:type="dxa"/>
                                <w:bottom w:w="0" w:type="dxa"/>
                                <w:right w:w="135" w:type="dxa"/>
                              </w:tcMar>
                              <w:hideMark/>
                            </w:tcPr>
                            <w:p w14:paraId="704DAC2D" w14:textId="3859E3B4" w:rsidR="00BB6FFF" w:rsidRPr="00BB6FFF" w:rsidRDefault="00BB6FFF" w:rsidP="00BB6FFF">
                              <w:pPr>
                                <w:spacing w:after="0" w:line="240" w:lineRule="auto"/>
                              </w:pPr>
                              <w:r w:rsidRPr="00BB6FFF">
                                <w:drawing>
                                  <wp:inline distT="0" distB="0" distL="0" distR="0" wp14:anchorId="221D72C4" wp14:editId="5A52DFA0">
                                    <wp:extent cx="5372100" cy="336550"/>
                                    <wp:effectExtent l="0" t="0" r="0" b="6350"/>
                                    <wp:docPr id="23866881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81B2950" w14:textId="77777777" w:rsidR="00BB6FFF" w:rsidRPr="00BB6FFF" w:rsidRDefault="00BB6FFF" w:rsidP="00BB6FFF">
                        <w:pPr>
                          <w:spacing w:after="0" w:line="240" w:lineRule="auto"/>
                        </w:pPr>
                      </w:p>
                    </w:tc>
                  </w:tr>
                </w:tbl>
                <w:p w14:paraId="53FBE550"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4D5E09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0D60023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6A1E1491" w14:textId="77777777">
                                <w:tc>
                                  <w:tcPr>
                                    <w:tcW w:w="0" w:type="auto"/>
                                    <w:tcMar>
                                      <w:top w:w="0" w:type="dxa"/>
                                      <w:left w:w="270" w:type="dxa"/>
                                      <w:bottom w:w="135" w:type="dxa"/>
                                      <w:right w:w="270" w:type="dxa"/>
                                    </w:tcMar>
                                    <w:hideMark/>
                                  </w:tcPr>
                                  <w:p w14:paraId="01991DEF" w14:textId="77777777" w:rsidR="00BB6FFF" w:rsidRPr="00BB6FFF" w:rsidRDefault="00BB6FFF" w:rsidP="00BB6FFF">
                                    <w:pPr>
                                      <w:spacing w:after="0" w:line="240" w:lineRule="auto"/>
                                    </w:pPr>
                                    <w:r w:rsidRPr="00BB6FFF">
                                      <w:rPr>
                                        <w:b/>
                                        <w:bCs/>
                                      </w:rPr>
                                      <w:t>This newsletter - sent on Mondays, Wednesdays and Fridays - contains important information and resources to support community pharmacies across England.</w:t>
                                    </w:r>
                                  </w:p>
                                </w:tc>
                              </w:tr>
                            </w:tbl>
                            <w:p w14:paraId="1F07E81A" w14:textId="77777777" w:rsidR="00BB6FFF" w:rsidRPr="00BB6FFF" w:rsidRDefault="00BB6FFF" w:rsidP="00BB6FFF">
                              <w:pPr>
                                <w:spacing w:after="0" w:line="240" w:lineRule="auto"/>
                              </w:pPr>
                            </w:p>
                          </w:tc>
                        </w:tr>
                      </w:tbl>
                      <w:p w14:paraId="3740D5FD" w14:textId="77777777" w:rsidR="00BB6FFF" w:rsidRPr="00BB6FFF" w:rsidRDefault="00BB6FFF" w:rsidP="00BB6FFF">
                        <w:pPr>
                          <w:spacing w:after="0" w:line="240" w:lineRule="auto"/>
                        </w:pPr>
                      </w:p>
                    </w:tc>
                  </w:tr>
                </w:tbl>
                <w:p w14:paraId="2BA41A3D"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7A665E9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061089F4" w14:textId="77777777">
                          <w:trPr>
                            <w:hidden/>
                          </w:trPr>
                          <w:tc>
                            <w:tcPr>
                              <w:tcW w:w="0" w:type="auto"/>
                              <w:tcBorders>
                                <w:top w:val="single" w:sz="12" w:space="0" w:color="106B62"/>
                                <w:left w:val="nil"/>
                                <w:bottom w:val="nil"/>
                                <w:right w:val="nil"/>
                              </w:tcBorders>
                              <w:vAlign w:val="center"/>
                              <w:hideMark/>
                            </w:tcPr>
                            <w:p w14:paraId="518F6B34" w14:textId="77777777" w:rsidR="00BB6FFF" w:rsidRPr="00BB6FFF" w:rsidRDefault="00BB6FFF" w:rsidP="00BB6FFF">
                              <w:pPr>
                                <w:spacing w:after="0" w:line="240" w:lineRule="auto"/>
                                <w:rPr>
                                  <w:vanish/>
                                </w:rPr>
                              </w:pPr>
                            </w:p>
                          </w:tc>
                        </w:tr>
                      </w:tbl>
                      <w:p w14:paraId="438903DF" w14:textId="77777777" w:rsidR="00BB6FFF" w:rsidRPr="00BB6FFF" w:rsidRDefault="00BB6FFF" w:rsidP="00BB6FFF">
                        <w:pPr>
                          <w:spacing w:after="0" w:line="240" w:lineRule="auto"/>
                        </w:pPr>
                      </w:p>
                    </w:tc>
                  </w:tr>
                </w:tbl>
                <w:p w14:paraId="4448E715"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73583D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1BD3119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18A7CE3C" w14:textId="77777777">
                                <w:tc>
                                  <w:tcPr>
                                    <w:tcW w:w="0" w:type="auto"/>
                                    <w:tcMar>
                                      <w:top w:w="0" w:type="dxa"/>
                                      <w:left w:w="270" w:type="dxa"/>
                                      <w:bottom w:w="135" w:type="dxa"/>
                                      <w:right w:w="270" w:type="dxa"/>
                                    </w:tcMar>
                                    <w:hideMark/>
                                  </w:tcPr>
                                  <w:p w14:paraId="3BD5EB11" w14:textId="77777777" w:rsidR="00BB6FFF" w:rsidRPr="00BB6FFF" w:rsidRDefault="00BB6FFF" w:rsidP="00BB6FFF">
                                    <w:pPr>
                                      <w:spacing w:after="0" w:line="240" w:lineRule="auto"/>
                                      <w:rPr>
                                        <w:b/>
                                        <w:bCs/>
                                      </w:rPr>
                                    </w:pPr>
                                    <w:r w:rsidRPr="00BB6FFF">
                                      <w:rPr>
                                        <w:b/>
                                        <w:bCs/>
                                      </w:rPr>
                                      <w:t xml:space="preserve">In this update: Preparations underway for CPE's 2027 election; Health Ministerial changes; Free-of-charge factsheets; NMS Myth Buster Series; </w:t>
                                    </w:r>
                                    <w:proofErr w:type="spellStart"/>
                                    <w:r w:rsidRPr="00BB6FFF">
                                      <w:rPr>
                                        <w:b/>
                                        <w:bCs/>
                                      </w:rPr>
                                      <w:t>Trurapi</w:t>
                                    </w:r>
                                    <w:proofErr w:type="spellEnd"/>
                                    <w:r w:rsidRPr="00BB6FFF">
                                      <w:rPr>
                                        <w:b/>
                                        <w:bCs/>
                                      </w:rPr>
                                      <w:t>® supply notice.</w:t>
                                    </w:r>
                                  </w:p>
                                </w:tc>
                              </w:tr>
                            </w:tbl>
                            <w:p w14:paraId="789F8C37" w14:textId="77777777" w:rsidR="00BB6FFF" w:rsidRPr="00BB6FFF" w:rsidRDefault="00BB6FFF" w:rsidP="00BB6FFF">
                              <w:pPr>
                                <w:spacing w:after="0" w:line="240" w:lineRule="auto"/>
                              </w:pPr>
                            </w:p>
                          </w:tc>
                        </w:tr>
                      </w:tbl>
                      <w:p w14:paraId="0B55BD9F" w14:textId="77777777" w:rsidR="00BB6FFF" w:rsidRPr="00BB6FFF" w:rsidRDefault="00BB6FFF" w:rsidP="00BB6FFF">
                        <w:pPr>
                          <w:spacing w:after="0" w:line="240" w:lineRule="auto"/>
                        </w:pPr>
                      </w:p>
                    </w:tc>
                  </w:tr>
                </w:tbl>
                <w:p w14:paraId="1B366F34"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3117764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5C0A8825" w14:textId="77777777">
                          <w:trPr>
                            <w:hidden/>
                          </w:trPr>
                          <w:tc>
                            <w:tcPr>
                              <w:tcW w:w="0" w:type="auto"/>
                              <w:tcBorders>
                                <w:top w:val="single" w:sz="12" w:space="0" w:color="106B62"/>
                                <w:left w:val="nil"/>
                                <w:bottom w:val="nil"/>
                                <w:right w:val="nil"/>
                              </w:tcBorders>
                              <w:vAlign w:val="center"/>
                              <w:hideMark/>
                            </w:tcPr>
                            <w:p w14:paraId="1254D8B6" w14:textId="77777777" w:rsidR="00BB6FFF" w:rsidRPr="00BB6FFF" w:rsidRDefault="00BB6FFF" w:rsidP="00BB6FFF">
                              <w:pPr>
                                <w:spacing w:after="0" w:line="240" w:lineRule="auto"/>
                                <w:rPr>
                                  <w:vanish/>
                                </w:rPr>
                              </w:pPr>
                            </w:p>
                          </w:tc>
                        </w:tr>
                      </w:tbl>
                      <w:p w14:paraId="1B15DEF7" w14:textId="77777777" w:rsidR="00BB6FFF" w:rsidRPr="00BB6FFF" w:rsidRDefault="00BB6FFF" w:rsidP="00BB6FFF">
                        <w:pPr>
                          <w:spacing w:after="0" w:line="240" w:lineRule="auto"/>
                        </w:pPr>
                      </w:p>
                    </w:tc>
                  </w:tr>
                </w:tbl>
                <w:p w14:paraId="6C228099"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0547CFB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6FFF" w:rsidRPr="00BB6FFF" w14:paraId="2BFF6990" w14:textId="77777777">
                          <w:tc>
                            <w:tcPr>
                              <w:tcW w:w="0" w:type="auto"/>
                              <w:tcMar>
                                <w:top w:w="0" w:type="dxa"/>
                                <w:left w:w="135" w:type="dxa"/>
                                <w:bottom w:w="0" w:type="dxa"/>
                                <w:right w:w="135" w:type="dxa"/>
                              </w:tcMar>
                              <w:hideMark/>
                            </w:tcPr>
                            <w:p w14:paraId="02AC6DDD" w14:textId="3B8F8728" w:rsidR="00BB6FFF" w:rsidRPr="00BB6FFF" w:rsidRDefault="00BB6FFF" w:rsidP="00BB6FFF">
                              <w:pPr>
                                <w:spacing w:after="0" w:line="240" w:lineRule="auto"/>
                              </w:pPr>
                              <w:r w:rsidRPr="00BB6FFF">
                                <w:drawing>
                                  <wp:inline distT="0" distB="0" distL="0" distR="0" wp14:anchorId="5EC8946E" wp14:editId="150550C7">
                                    <wp:extent cx="5372100" cy="1790700"/>
                                    <wp:effectExtent l="0" t="0" r="0" b="0"/>
                                    <wp:docPr id="1442974688"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0818E96" w14:textId="77777777" w:rsidR="00BB6FFF" w:rsidRPr="00BB6FFF" w:rsidRDefault="00BB6FFF" w:rsidP="00BB6FFF">
                        <w:pPr>
                          <w:spacing w:after="0" w:line="240" w:lineRule="auto"/>
                        </w:pPr>
                      </w:p>
                    </w:tc>
                  </w:tr>
                </w:tbl>
                <w:p w14:paraId="2EF91E77"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2E7667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435DA82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2E9C0D6C" w14:textId="77777777">
                                <w:tc>
                                  <w:tcPr>
                                    <w:tcW w:w="0" w:type="auto"/>
                                    <w:tcMar>
                                      <w:top w:w="0" w:type="dxa"/>
                                      <w:left w:w="270" w:type="dxa"/>
                                      <w:bottom w:w="135" w:type="dxa"/>
                                      <w:right w:w="270" w:type="dxa"/>
                                    </w:tcMar>
                                    <w:hideMark/>
                                  </w:tcPr>
                                  <w:p w14:paraId="26127EED" w14:textId="77777777" w:rsidR="00BB6FFF" w:rsidRPr="00BB6FFF" w:rsidRDefault="00BB6FFF" w:rsidP="00BB6FFF">
                                    <w:pPr>
                                      <w:spacing w:after="0" w:line="240" w:lineRule="auto"/>
                                    </w:pPr>
                                    <w:r w:rsidRPr="00BB6FFF">
                                      <w:t>Community Pharmacy England is beginning early engagement with pharmacy owners and LPCs ahead of the 2027-2031 term committee elections, including plans to write to pharmacy owners in the ‘10+ multiple (non-CCA)’ category, asking them to review their NHS-held details and confirm whether they meet the criteria for this electoral group. </w:t>
                                    </w:r>
                                    <w:r w:rsidRPr="00BB6FFF">
                                      <w:br/>
                                    </w:r>
                                    <w:r w:rsidRPr="00BB6FFF">
                                      <w:br/>
                                      <w:t>The early engagement process is intended to help ensure effective planning for committee composition to reflect sector ownership, a clear and transparent election process, and appropriate representation across contractor groupings.</w:t>
                                    </w:r>
                                    <w:r w:rsidRPr="00BB6FFF">
                                      <w:br/>
                                    </w:r>
                                    <w:r w:rsidRPr="00BB6FFF">
                                      <w:br/>
                                      <w:t>Pharmacy owners and colleagues across the sector are encouraged to begin thinking now about the upcoming elections, whether that’s considering standing themselves or supporting others to do so.</w:t>
                                    </w:r>
                                  </w:p>
                                </w:tc>
                              </w:tr>
                            </w:tbl>
                            <w:p w14:paraId="33BBB6B9" w14:textId="77777777" w:rsidR="00BB6FFF" w:rsidRPr="00BB6FFF" w:rsidRDefault="00BB6FFF" w:rsidP="00BB6FFF">
                              <w:pPr>
                                <w:spacing w:after="0" w:line="240" w:lineRule="auto"/>
                              </w:pPr>
                            </w:p>
                          </w:tc>
                        </w:tr>
                      </w:tbl>
                      <w:p w14:paraId="7B094A5A" w14:textId="77777777" w:rsidR="00BB6FFF" w:rsidRPr="00BB6FFF" w:rsidRDefault="00BB6FFF" w:rsidP="00BB6FFF">
                        <w:pPr>
                          <w:spacing w:after="0" w:line="240" w:lineRule="auto"/>
                        </w:pPr>
                      </w:p>
                    </w:tc>
                  </w:tr>
                </w:tbl>
                <w:p w14:paraId="0F628106"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268F694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191"/>
                        </w:tblGrid>
                        <w:tr w:rsidR="00BB6FFF" w:rsidRPr="00BB6FFF" w14:paraId="02D6606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0FC8710" w14:textId="77777777" w:rsidR="00BB6FFF" w:rsidRPr="00BB6FFF" w:rsidRDefault="00BB6FFF" w:rsidP="00BB6FFF">
                              <w:pPr>
                                <w:spacing w:after="0" w:line="240" w:lineRule="auto"/>
                              </w:pPr>
                              <w:hyperlink r:id="rId9" w:tgtFrame="_blank" w:tooltip="Read more, including our statement " w:history="1">
                                <w:r w:rsidRPr="00BB6FFF">
                                  <w:rPr>
                                    <w:rStyle w:val="Hyperlink"/>
                                    <w:b/>
                                    <w:bCs/>
                                  </w:rPr>
                                  <w:t xml:space="preserve">Read more, including our statement </w:t>
                                </w:r>
                              </w:hyperlink>
                            </w:p>
                          </w:tc>
                        </w:tr>
                      </w:tbl>
                      <w:p w14:paraId="753C54D5" w14:textId="77777777" w:rsidR="00BB6FFF" w:rsidRPr="00BB6FFF" w:rsidRDefault="00BB6FFF" w:rsidP="00BB6FFF">
                        <w:pPr>
                          <w:spacing w:after="0" w:line="240" w:lineRule="auto"/>
                        </w:pPr>
                      </w:p>
                    </w:tc>
                  </w:tr>
                </w:tbl>
                <w:p w14:paraId="66C71AAA"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43B4DFF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435C7CE9" w14:textId="77777777">
                          <w:trPr>
                            <w:hidden/>
                          </w:trPr>
                          <w:tc>
                            <w:tcPr>
                              <w:tcW w:w="0" w:type="auto"/>
                              <w:tcBorders>
                                <w:top w:val="single" w:sz="12" w:space="0" w:color="106B62"/>
                                <w:left w:val="nil"/>
                                <w:bottom w:val="nil"/>
                                <w:right w:val="nil"/>
                              </w:tcBorders>
                              <w:vAlign w:val="center"/>
                              <w:hideMark/>
                            </w:tcPr>
                            <w:p w14:paraId="7F56E357" w14:textId="77777777" w:rsidR="00BB6FFF" w:rsidRPr="00BB6FFF" w:rsidRDefault="00BB6FFF" w:rsidP="00BB6FFF">
                              <w:pPr>
                                <w:spacing w:after="0" w:line="240" w:lineRule="auto"/>
                                <w:rPr>
                                  <w:vanish/>
                                </w:rPr>
                              </w:pPr>
                            </w:p>
                          </w:tc>
                        </w:tr>
                      </w:tbl>
                      <w:p w14:paraId="4E30DDAC" w14:textId="77777777" w:rsidR="00BB6FFF" w:rsidRPr="00BB6FFF" w:rsidRDefault="00BB6FFF" w:rsidP="00BB6FFF">
                        <w:pPr>
                          <w:spacing w:after="0" w:line="240" w:lineRule="auto"/>
                        </w:pPr>
                      </w:p>
                    </w:tc>
                  </w:tr>
                </w:tbl>
                <w:p w14:paraId="0D0096FE"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1586513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989"/>
                        </w:tblGrid>
                        <w:tr w:rsidR="00BB6FFF" w:rsidRPr="00BB6FFF" w14:paraId="6D2E54E4" w14:textId="77777777">
                          <w:trPr>
                            <w:jc w:val="center"/>
                            <w:hidden/>
                          </w:trPr>
                          <w:tc>
                            <w:tcPr>
                              <w:tcW w:w="0" w:type="auto"/>
                              <w:hideMark/>
                            </w:tcPr>
                            <w:p w14:paraId="6AAD51B5" w14:textId="77777777" w:rsidR="00BB6FFF" w:rsidRPr="00BB6FFF" w:rsidRDefault="00BB6FFF" w:rsidP="00BB6FFF">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9"/>
                              </w:tblGrid>
                              <w:tr w:rsidR="00BB6FFF" w:rsidRPr="00BB6FFF" w14:paraId="090E6E0C"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49"/>
                                    </w:tblGrid>
                                    <w:tr w:rsidR="00BB6FFF" w:rsidRPr="00BB6FFF" w14:paraId="103E0757" w14:textId="77777777">
                                      <w:tc>
                                        <w:tcPr>
                                          <w:tcW w:w="0" w:type="auto"/>
                                          <w:shd w:val="clear" w:color="auto" w:fill="FF6E3B"/>
                                          <w:tcMar>
                                            <w:top w:w="270" w:type="dxa"/>
                                            <w:left w:w="270" w:type="dxa"/>
                                            <w:bottom w:w="270" w:type="dxa"/>
                                            <w:right w:w="270" w:type="dxa"/>
                                          </w:tcMar>
                                          <w:hideMark/>
                                        </w:tcPr>
                                        <w:p w14:paraId="162478E1" w14:textId="77777777" w:rsidR="00BB6FFF" w:rsidRPr="00BB6FFF" w:rsidRDefault="00BB6FFF" w:rsidP="00BB6FFF">
                                          <w:pPr>
                                            <w:spacing w:after="0" w:line="240" w:lineRule="auto"/>
                                            <w:rPr>
                                              <w:b/>
                                              <w:bCs/>
                                            </w:rPr>
                                          </w:pPr>
                                          <w:r w:rsidRPr="00BB6FFF">
                                            <w:rPr>
                                              <w:b/>
                                              <w:bCs/>
                                            </w:rPr>
                                            <w:t>Changes in Government Health Team</w:t>
                                          </w:r>
                                        </w:p>
                                      </w:tc>
                                    </w:tr>
                                  </w:tbl>
                                  <w:p w14:paraId="36AC3F8A" w14:textId="77777777" w:rsidR="00BB6FFF" w:rsidRPr="00BB6FFF" w:rsidRDefault="00BB6FFF" w:rsidP="00BB6FFF">
                                    <w:pPr>
                                      <w:spacing w:after="0" w:line="240" w:lineRule="auto"/>
                                    </w:pPr>
                                  </w:p>
                                </w:tc>
                              </w:tr>
                            </w:tbl>
                            <w:p w14:paraId="09A07ED5" w14:textId="77777777" w:rsidR="00BB6FFF" w:rsidRPr="00BB6FFF" w:rsidRDefault="00BB6FFF" w:rsidP="00BB6FFF">
                              <w:pPr>
                                <w:spacing w:after="0" w:line="240" w:lineRule="auto"/>
                              </w:pPr>
                            </w:p>
                          </w:tc>
                        </w:tr>
                      </w:tbl>
                      <w:p w14:paraId="257BB2C7" w14:textId="77777777" w:rsidR="00BB6FFF" w:rsidRPr="00BB6FFF" w:rsidRDefault="00BB6FFF" w:rsidP="00BB6FFF">
                        <w:pPr>
                          <w:spacing w:after="0" w:line="240" w:lineRule="auto"/>
                        </w:pPr>
                      </w:p>
                    </w:tc>
                  </w:tr>
                </w:tbl>
                <w:p w14:paraId="5CE5708F"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29C591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74B96AB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7170CCE1" w14:textId="77777777">
                                <w:tc>
                                  <w:tcPr>
                                    <w:tcW w:w="0" w:type="auto"/>
                                    <w:tcMar>
                                      <w:top w:w="0" w:type="dxa"/>
                                      <w:left w:w="270" w:type="dxa"/>
                                      <w:bottom w:w="135" w:type="dxa"/>
                                      <w:right w:w="270" w:type="dxa"/>
                                    </w:tcMar>
                                    <w:hideMark/>
                                  </w:tcPr>
                                  <w:p w14:paraId="691BFAC8" w14:textId="77777777" w:rsidR="00BB6FFF" w:rsidRPr="00BB6FFF" w:rsidRDefault="00BB6FFF" w:rsidP="00BB6FFF">
                                    <w:pPr>
                                      <w:spacing w:after="0" w:line="240" w:lineRule="auto"/>
                                    </w:pPr>
                                    <w:r w:rsidRPr="00BB6FFF">
                                      <w:t>The Department of Health and Social Care has a new Secretary of State, the Rt Hon James Murray MP, and a new Parliamentary Under-Secretary of State, Preet Kaur Gill MP.</w:t>
                                    </w:r>
                                    <w:r w:rsidRPr="00BB6FFF">
                                      <w:br/>
                                      <w:t> </w:t>
                                    </w:r>
                                    <w:r w:rsidRPr="00BB6FFF">
                                      <w:br/>
                                      <w:t>We’re looking forward to working with the new Ministers, as well as continuing our close and constructive working relationship with the Minister with responsibility for pharmacy, Stephen Kinnock MP. We are writing to Mr Murray and Ms Gill, briefing them on community pharmacy’s important but precarious position from the outset.</w:t>
                                    </w:r>
                                  </w:p>
                                </w:tc>
                              </w:tr>
                            </w:tbl>
                            <w:p w14:paraId="0F70C81B" w14:textId="77777777" w:rsidR="00BB6FFF" w:rsidRPr="00BB6FFF" w:rsidRDefault="00BB6FFF" w:rsidP="00BB6FFF">
                              <w:pPr>
                                <w:spacing w:after="0" w:line="240" w:lineRule="auto"/>
                              </w:pPr>
                            </w:p>
                          </w:tc>
                        </w:tr>
                      </w:tbl>
                      <w:p w14:paraId="0840673F" w14:textId="77777777" w:rsidR="00BB6FFF" w:rsidRPr="00BB6FFF" w:rsidRDefault="00BB6FFF" w:rsidP="00BB6FFF">
                        <w:pPr>
                          <w:spacing w:after="0" w:line="240" w:lineRule="auto"/>
                        </w:pPr>
                      </w:p>
                    </w:tc>
                  </w:tr>
                </w:tbl>
                <w:p w14:paraId="1B5EB15B"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76563F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53D83548" w14:textId="77777777">
                          <w:trPr>
                            <w:hidden/>
                          </w:trPr>
                          <w:tc>
                            <w:tcPr>
                              <w:tcW w:w="0" w:type="auto"/>
                              <w:tcBorders>
                                <w:top w:val="single" w:sz="12" w:space="0" w:color="106B62"/>
                                <w:left w:val="nil"/>
                                <w:bottom w:val="nil"/>
                                <w:right w:val="nil"/>
                              </w:tcBorders>
                              <w:vAlign w:val="center"/>
                              <w:hideMark/>
                            </w:tcPr>
                            <w:p w14:paraId="1AC6B346" w14:textId="77777777" w:rsidR="00BB6FFF" w:rsidRPr="00BB6FFF" w:rsidRDefault="00BB6FFF" w:rsidP="00BB6FFF">
                              <w:pPr>
                                <w:spacing w:after="0" w:line="240" w:lineRule="auto"/>
                                <w:rPr>
                                  <w:vanish/>
                                </w:rPr>
                              </w:pPr>
                            </w:p>
                          </w:tc>
                        </w:tr>
                      </w:tbl>
                      <w:p w14:paraId="2880F57B" w14:textId="77777777" w:rsidR="00BB6FFF" w:rsidRPr="00BB6FFF" w:rsidRDefault="00BB6FFF" w:rsidP="00BB6FFF">
                        <w:pPr>
                          <w:spacing w:after="0" w:line="240" w:lineRule="auto"/>
                        </w:pPr>
                      </w:p>
                    </w:tc>
                  </w:tr>
                </w:tbl>
                <w:p w14:paraId="65DC9C08"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5015075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6FFF" w:rsidRPr="00BB6FFF" w14:paraId="474DD0EE" w14:textId="77777777">
                          <w:tc>
                            <w:tcPr>
                              <w:tcW w:w="0" w:type="auto"/>
                              <w:tcMar>
                                <w:top w:w="0" w:type="dxa"/>
                                <w:left w:w="135" w:type="dxa"/>
                                <w:bottom w:w="0" w:type="dxa"/>
                                <w:right w:w="135" w:type="dxa"/>
                              </w:tcMar>
                              <w:hideMark/>
                            </w:tcPr>
                            <w:p w14:paraId="5B5AD943" w14:textId="2EBD4013" w:rsidR="00BB6FFF" w:rsidRPr="00BB6FFF" w:rsidRDefault="00BB6FFF" w:rsidP="00BB6FFF">
                              <w:pPr>
                                <w:spacing w:after="0" w:line="240" w:lineRule="auto"/>
                              </w:pPr>
                              <w:r w:rsidRPr="00BB6FFF">
                                <w:drawing>
                                  <wp:inline distT="0" distB="0" distL="0" distR="0" wp14:anchorId="4FF327E3" wp14:editId="6E10C93E">
                                    <wp:extent cx="5372100" cy="1790700"/>
                                    <wp:effectExtent l="0" t="0" r="0" b="0"/>
                                    <wp:docPr id="20260428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F552264" w14:textId="77777777" w:rsidR="00BB6FFF" w:rsidRPr="00BB6FFF" w:rsidRDefault="00BB6FFF" w:rsidP="00BB6FFF">
                        <w:pPr>
                          <w:spacing w:after="0" w:line="240" w:lineRule="auto"/>
                        </w:pPr>
                      </w:p>
                    </w:tc>
                  </w:tr>
                </w:tbl>
                <w:p w14:paraId="51C719C6"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42301FB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783198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0E776EB4" w14:textId="77777777">
                                <w:tc>
                                  <w:tcPr>
                                    <w:tcW w:w="0" w:type="auto"/>
                                    <w:tcMar>
                                      <w:top w:w="0" w:type="dxa"/>
                                      <w:left w:w="270" w:type="dxa"/>
                                      <w:bottom w:w="135" w:type="dxa"/>
                                      <w:right w:w="270" w:type="dxa"/>
                                    </w:tcMar>
                                    <w:hideMark/>
                                  </w:tcPr>
                                  <w:p w14:paraId="5E34AF39" w14:textId="77777777" w:rsidR="00BB6FFF" w:rsidRPr="00BB6FFF" w:rsidRDefault="00BB6FFF" w:rsidP="00BB6FFF">
                                    <w:pPr>
                                      <w:spacing w:after="0" w:line="240" w:lineRule="auto"/>
                                      <w:rPr>
                                        <w:b/>
                                        <w:bCs/>
                                      </w:rPr>
                                    </w:pPr>
                                    <w:r w:rsidRPr="00BB6FFF">
                                      <w:rPr>
                                        <w:b/>
                                        <w:bCs/>
                                      </w:rPr>
                                      <w:t>Confused about numbers of prescription charges?</w:t>
                                    </w:r>
                                  </w:p>
                                  <w:p w14:paraId="263305EF" w14:textId="77777777" w:rsidR="00BB6FFF" w:rsidRPr="00BB6FFF" w:rsidRDefault="00BB6FFF" w:rsidP="00BB6FFF">
                                    <w:pPr>
                                      <w:spacing w:after="0" w:line="240" w:lineRule="auto"/>
                                    </w:pPr>
                                    <w:r w:rsidRPr="00BB6FFF">
                                      <w:t xml:space="preserve">Our recently updated </w:t>
                                    </w:r>
                                    <w:hyperlink r:id="rId11" w:history="1">
                                      <w:r w:rsidRPr="00BB6FFF">
                                        <w:rPr>
                                          <w:rStyle w:val="Hyperlink"/>
                                        </w:rPr>
                                        <w:t>'Dispensing Factsheet: How many prescription charges apply?</w:t>
                                      </w:r>
                                    </w:hyperlink>
                                    <w:r w:rsidRPr="00BB6FFF">
                                      <w:t>' explains the number of prescription charges payable for different types of items dispensed against NHS prescriptions, with examples of prescriptions where a single charge would apply and cases where multiple charges are payable.</w:t>
                                    </w:r>
                                    <w:r w:rsidRPr="00BB6FFF">
                                      <w:br/>
                                    </w:r>
                                    <w:r w:rsidRPr="00BB6FFF">
                                      <w:br/>
                                      <w:t xml:space="preserve">Similarly, our </w:t>
                                    </w:r>
                                    <w:hyperlink r:id="rId12" w:history="1">
                                      <w:r w:rsidRPr="00BB6FFF">
                                        <w:rPr>
                                          <w:rStyle w:val="Hyperlink"/>
                                        </w:rPr>
                                        <w:t>'Dispensing Factsheet: Free-of-charge (FOC) items</w:t>
                                      </w:r>
                                    </w:hyperlink>
                                    <w:r w:rsidRPr="00BB6FFF">
                                      <w:t>' supports pharmacy teams in identifying when items should be supplied free-of-charge on NHS prescriptions in England. This factsheet outlines the key categories of FOC supply, including contraceptives, items correctly endorsed ‘FS’ for the treatment of sexually transmitted infections (STIs) and tuberculosis (TB), and other specific scenarios.</w:t>
                                    </w:r>
                                  </w:p>
                                </w:tc>
                              </w:tr>
                            </w:tbl>
                            <w:p w14:paraId="16DEB0CE" w14:textId="77777777" w:rsidR="00BB6FFF" w:rsidRPr="00BB6FFF" w:rsidRDefault="00BB6FFF" w:rsidP="00BB6FFF">
                              <w:pPr>
                                <w:spacing w:after="0" w:line="240" w:lineRule="auto"/>
                              </w:pPr>
                            </w:p>
                          </w:tc>
                        </w:tr>
                      </w:tbl>
                      <w:p w14:paraId="21AB42D8" w14:textId="77777777" w:rsidR="00BB6FFF" w:rsidRPr="00BB6FFF" w:rsidRDefault="00BB6FFF" w:rsidP="00BB6FFF">
                        <w:pPr>
                          <w:spacing w:after="0" w:line="240" w:lineRule="auto"/>
                        </w:pPr>
                      </w:p>
                    </w:tc>
                  </w:tr>
                </w:tbl>
                <w:p w14:paraId="4B3DF272"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268DBB5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419B3CDB" w14:textId="77777777">
                          <w:trPr>
                            <w:hidden/>
                          </w:trPr>
                          <w:tc>
                            <w:tcPr>
                              <w:tcW w:w="0" w:type="auto"/>
                              <w:tcBorders>
                                <w:top w:val="single" w:sz="12" w:space="0" w:color="106B62"/>
                                <w:left w:val="nil"/>
                                <w:bottom w:val="nil"/>
                                <w:right w:val="nil"/>
                              </w:tcBorders>
                              <w:vAlign w:val="center"/>
                              <w:hideMark/>
                            </w:tcPr>
                            <w:p w14:paraId="228ACB05" w14:textId="77777777" w:rsidR="00BB6FFF" w:rsidRPr="00BB6FFF" w:rsidRDefault="00BB6FFF" w:rsidP="00BB6FFF">
                              <w:pPr>
                                <w:spacing w:after="0" w:line="240" w:lineRule="auto"/>
                                <w:rPr>
                                  <w:vanish/>
                                </w:rPr>
                              </w:pPr>
                            </w:p>
                          </w:tc>
                        </w:tr>
                      </w:tbl>
                      <w:p w14:paraId="7B7A86AE" w14:textId="77777777" w:rsidR="00BB6FFF" w:rsidRPr="00BB6FFF" w:rsidRDefault="00BB6FFF" w:rsidP="00BB6FFF">
                        <w:pPr>
                          <w:spacing w:after="0" w:line="240" w:lineRule="auto"/>
                        </w:pPr>
                      </w:p>
                    </w:tc>
                  </w:tr>
                </w:tbl>
                <w:p w14:paraId="2658FBCF"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38C7ACC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3"/>
                          <w:gridCol w:w="8987"/>
                        </w:tblGrid>
                        <w:tr w:rsidR="00BB6FFF" w:rsidRPr="00BB6FFF" w14:paraId="3CF77C50" w14:textId="77777777">
                          <w:trPr>
                            <w:jc w:val="center"/>
                            <w:hidden/>
                          </w:trPr>
                          <w:tc>
                            <w:tcPr>
                              <w:tcW w:w="0" w:type="auto"/>
                              <w:hideMark/>
                            </w:tcPr>
                            <w:p w14:paraId="3EC0E9B3" w14:textId="77777777" w:rsidR="00BB6FFF" w:rsidRPr="00BB6FFF" w:rsidRDefault="00BB6FFF" w:rsidP="00BB6FFF">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7"/>
                              </w:tblGrid>
                              <w:tr w:rsidR="00BB6FFF" w:rsidRPr="00BB6FFF" w14:paraId="301EC4E6" w14:textId="77777777">
                                <w:tc>
                                  <w:tcPr>
                                    <w:tcW w:w="0" w:type="auto"/>
                                    <w:tcMar>
                                      <w:top w:w="135" w:type="dxa"/>
                                      <w:left w:w="270" w:type="dxa"/>
                                      <w:bottom w:w="135" w:type="dxa"/>
                                      <w:right w:w="270" w:type="dxa"/>
                                    </w:tcMar>
                                    <w:vAlign w:val="center"/>
                                    <w:hideMark/>
                                  </w:tcPr>
                                  <w:tbl>
                                    <w:tblPr>
                                      <w:tblW w:w="5000" w:type="pct"/>
                                      <w:shd w:val="clear" w:color="auto" w:fill="CC00BA"/>
                                      <w:tblLook w:val="04A0" w:firstRow="1" w:lastRow="0" w:firstColumn="1" w:lastColumn="0" w:noHBand="0" w:noVBand="1"/>
                                    </w:tblPr>
                                    <w:tblGrid>
                                      <w:gridCol w:w="8447"/>
                                    </w:tblGrid>
                                    <w:tr w:rsidR="00BB6FFF" w:rsidRPr="00BB6FFF" w14:paraId="62D557C1" w14:textId="77777777">
                                      <w:tc>
                                        <w:tcPr>
                                          <w:tcW w:w="0" w:type="auto"/>
                                          <w:shd w:val="clear" w:color="auto" w:fill="CC00BA"/>
                                          <w:tcMar>
                                            <w:top w:w="270" w:type="dxa"/>
                                            <w:left w:w="270" w:type="dxa"/>
                                            <w:bottom w:w="270" w:type="dxa"/>
                                            <w:right w:w="270" w:type="dxa"/>
                                          </w:tcMar>
                                          <w:hideMark/>
                                        </w:tcPr>
                                        <w:p w14:paraId="09D24608" w14:textId="77777777" w:rsidR="00BB6FFF" w:rsidRPr="00BB6FFF" w:rsidRDefault="00BB6FFF" w:rsidP="00BB6FFF">
                                          <w:pPr>
                                            <w:spacing w:after="0" w:line="240" w:lineRule="auto"/>
                                            <w:rPr>
                                              <w:b/>
                                              <w:bCs/>
                                            </w:rPr>
                                          </w:pPr>
                                          <w:r w:rsidRPr="00BB6FFF">
                                            <w:rPr>
                                              <w:b/>
                                              <w:bCs/>
                                            </w:rPr>
                                            <w:t>NMS myth busting series (#3)</w:t>
                                          </w:r>
                                        </w:p>
                                      </w:tc>
                                    </w:tr>
                                  </w:tbl>
                                  <w:p w14:paraId="2D945F75" w14:textId="77777777" w:rsidR="00BB6FFF" w:rsidRPr="00BB6FFF" w:rsidRDefault="00BB6FFF" w:rsidP="00BB6FFF">
                                    <w:pPr>
                                      <w:spacing w:after="0" w:line="240" w:lineRule="auto"/>
                                    </w:pPr>
                                  </w:p>
                                </w:tc>
                              </w:tr>
                            </w:tbl>
                            <w:p w14:paraId="27748AA4" w14:textId="77777777" w:rsidR="00BB6FFF" w:rsidRPr="00BB6FFF" w:rsidRDefault="00BB6FFF" w:rsidP="00BB6FFF">
                              <w:pPr>
                                <w:spacing w:after="0" w:line="240" w:lineRule="auto"/>
                              </w:pPr>
                            </w:p>
                          </w:tc>
                        </w:tr>
                      </w:tbl>
                      <w:p w14:paraId="7D68CE85" w14:textId="77777777" w:rsidR="00BB6FFF" w:rsidRPr="00BB6FFF" w:rsidRDefault="00BB6FFF" w:rsidP="00BB6FFF">
                        <w:pPr>
                          <w:spacing w:after="0" w:line="240" w:lineRule="auto"/>
                        </w:pPr>
                      </w:p>
                    </w:tc>
                  </w:tr>
                </w:tbl>
                <w:p w14:paraId="5F3BBD22"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3D637E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60A565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00487DB5" w14:textId="77777777">
                                <w:tc>
                                  <w:tcPr>
                                    <w:tcW w:w="0" w:type="auto"/>
                                    <w:tcMar>
                                      <w:top w:w="0" w:type="dxa"/>
                                      <w:left w:w="270" w:type="dxa"/>
                                      <w:bottom w:w="135" w:type="dxa"/>
                                      <w:right w:w="270" w:type="dxa"/>
                                    </w:tcMar>
                                    <w:hideMark/>
                                  </w:tcPr>
                                  <w:p w14:paraId="11D3AAB4" w14:textId="77777777" w:rsidR="00BB6FFF" w:rsidRPr="00BB6FFF" w:rsidRDefault="00BB6FFF" w:rsidP="00BB6FFF">
                                    <w:pPr>
                                      <w:spacing w:after="0" w:line="240" w:lineRule="auto"/>
                                    </w:pPr>
                                    <w:r w:rsidRPr="00BB6FFF">
                                      <w:t>The third article in our series addressing common misconceptions around the New Medicine Service (NMS) considers the consultation timeline and some scenarios impacting on eligibility criteria.</w:t>
                                    </w:r>
                                    <w:r w:rsidRPr="00BB6FFF">
                                      <w:br/>
                                    </w:r>
                                    <w:r w:rsidRPr="00BB6FFF">
                                      <w:lastRenderedPageBreak/>
                                      <w:br/>
                                    </w:r>
                                    <w:hyperlink r:id="rId13" w:tgtFrame="_blank" w:history="1">
                                      <w:r w:rsidRPr="00BB6FFF">
                                        <w:rPr>
                                          <w:rStyle w:val="Hyperlink"/>
                                        </w:rPr>
                                        <w:t>Read the article</w:t>
                                      </w:r>
                                    </w:hyperlink>
                                  </w:p>
                                </w:tc>
                              </w:tr>
                            </w:tbl>
                            <w:p w14:paraId="780B32B6" w14:textId="77777777" w:rsidR="00BB6FFF" w:rsidRPr="00BB6FFF" w:rsidRDefault="00BB6FFF" w:rsidP="00BB6FFF">
                              <w:pPr>
                                <w:spacing w:after="0" w:line="240" w:lineRule="auto"/>
                              </w:pPr>
                            </w:p>
                          </w:tc>
                        </w:tr>
                      </w:tbl>
                      <w:p w14:paraId="4434EC8C" w14:textId="77777777" w:rsidR="00BB6FFF" w:rsidRPr="00BB6FFF" w:rsidRDefault="00BB6FFF" w:rsidP="00BB6FFF">
                        <w:pPr>
                          <w:spacing w:after="0" w:line="240" w:lineRule="auto"/>
                        </w:pPr>
                      </w:p>
                    </w:tc>
                  </w:tr>
                </w:tbl>
                <w:p w14:paraId="2CE734E7"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31FF4B0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4479E49C" w14:textId="77777777">
                          <w:trPr>
                            <w:hidden/>
                          </w:trPr>
                          <w:tc>
                            <w:tcPr>
                              <w:tcW w:w="0" w:type="auto"/>
                              <w:tcBorders>
                                <w:top w:val="single" w:sz="12" w:space="0" w:color="106B62"/>
                                <w:left w:val="nil"/>
                                <w:bottom w:val="nil"/>
                                <w:right w:val="nil"/>
                              </w:tcBorders>
                              <w:vAlign w:val="center"/>
                              <w:hideMark/>
                            </w:tcPr>
                            <w:p w14:paraId="3CE551A4" w14:textId="77777777" w:rsidR="00BB6FFF" w:rsidRPr="00BB6FFF" w:rsidRDefault="00BB6FFF" w:rsidP="00BB6FFF">
                              <w:pPr>
                                <w:spacing w:after="0" w:line="240" w:lineRule="auto"/>
                                <w:rPr>
                                  <w:vanish/>
                                </w:rPr>
                              </w:pPr>
                            </w:p>
                          </w:tc>
                        </w:tr>
                      </w:tbl>
                      <w:p w14:paraId="1343FAF5" w14:textId="77777777" w:rsidR="00BB6FFF" w:rsidRPr="00BB6FFF" w:rsidRDefault="00BB6FFF" w:rsidP="00BB6FFF">
                        <w:pPr>
                          <w:spacing w:after="0" w:line="240" w:lineRule="auto"/>
                        </w:pPr>
                      </w:p>
                    </w:tc>
                  </w:tr>
                </w:tbl>
                <w:p w14:paraId="29EDB345"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1CC0BA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24847E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7DCD61B3" w14:textId="77777777">
                                <w:tc>
                                  <w:tcPr>
                                    <w:tcW w:w="0" w:type="auto"/>
                                    <w:tcMar>
                                      <w:top w:w="0" w:type="dxa"/>
                                      <w:left w:w="270" w:type="dxa"/>
                                      <w:bottom w:w="135" w:type="dxa"/>
                                      <w:right w:w="270" w:type="dxa"/>
                                    </w:tcMar>
                                    <w:hideMark/>
                                  </w:tcPr>
                                  <w:p w14:paraId="1F03173D" w14:textId="77777777" w:rsidR="00BB6FFF" w:rsidRPr="00BB6FFF" w:rsidRDefault="00BB6FFF" w:rsidP="00BB6FFF">
                                    <w:pPr>
                                      <w:spacing w:after="0" w:line="240" w:lineRule="auto"/>
                                      <w:rPr>
                                        <w:b/>
                                        <w:bCs/>
                                      </w:rPr>
                                    </w:pPr>
                                    <w:r w:rsidRPr="00BB6FFF">
                                      <w:rPr>
                                        <w:b/>
                                        <w:bCs/>
                                      </w:rPr>
                                      <w:t xml:space="preserve">Medicine Supply Notification: </w:t>
                                    </w:r>
                                    <w:proofErr w:type="spellStart"/>
                                    <w:r w:rsidRPr="00BB6FFF">
                                      <w:rPr>
                                        <w:b/>
                                        <w:bCs/>
                                      </w:rPr>
                                      <w:t>Trurapi</w:t>
                                    </w:r>
                                    <w:proofErr w:type="spellEnd"/>
                                    <w:r w:rsidRPr="00BB6FFF">
                                      <w:rPr>
                                        <w:b/>
                                        <w:bCs/>
                                      </w:rPr>
                                      <w:t>® (insulin aspart)</w:t>
                                    </w:r>
                                  </w:p>
                                  <w:p w14:paraId="549F4957" w14:textId="77777777" w:rsidR="00BB6FFF" w:rsidRPr="00BB6FFF" w:rsidRDefault="00BB6FFF" w:rsidP="00BB6FFF">
                                    <w:pPr>
                                      <w:spacing w:after="0" w:line="240" w:lineRule="auto"/>
                                    </w:pPr>
                                    <w:r w:rsidRPr="00BB6FFF">
                                      <w:t>A Tier 2 medicine supply notice has been issued for </w:t>
                                    </w:r>
                                    <w:proofErr w:type="spellStart"/>
                                    <w:r w:rsidRPr="00BB6FFF">
                                      <w:t>Trurapi</w:t>
                                    </w:r>
                                    <w:proofErr w:type="spellEnd"/>
                                    <w:r w:rsidRPr="00BB6FFF">
                                      <w:rPr>
                                        <w:vertAlign w:val="superscript"/>
                                      </w:rPr>
                                      <w:t>®</w:t>
                                    </w:r>
                                    <w:r w:rsidRPr="00BB6FFF">
                                      <w:t xml:space="preserve"> (insulin aspart) 100units/ml solution for injection 3ml pre-filled Solostar pens. Supplies are expected to be limited, followed by an </w:t>
                                    </w:r>
                                    <w:proofErr w:type="gramStart"/>
                                    <w:r w:rsidRPr="00BB6FFF">
                                      <w:t>out of stock</w:t>
                                    </w:r>
                                    <w:proofErr w:type="gramEnd"/>
                                    <w:r w:rsidRPr="00BB6FFF">
                                      <w:t xml:space="preserve"> period until mid-June 2026. Alternative insulin aspart presentations remain available and can support increased demand.</w:t>
                                    </w:r>
                                    <w:r w:rsidRPr="00BB6FFF">
                                      <w:br/>
                                    </w:r>
                                    <w:r w:rsidRPr="00BB6FFF">
                                      <w:br/>
                                    </w:r>
                                    <w:hyperlink r:id="rId14" w:tgtFrame="_blank" w:history="1">
                                      <w:r w:rsidRPr="00BB6FFF">
                                        <w:rPr>
                                          <w:rStyle w:val="Hyperlink"/>
                                        </w:rPr>
                                        <w:t>Tell me more</w:t>
                                      </w:r>
                                    </w:hyperlink>
                                  </w:p>
                                </w:tc>
                              </w:tr>
                            </w:tbl>
                            <w:p w14:paraId="4B29FABA" w14:textId="77777777" w:rsidR="00BB6FFF" w:rsidRPr="00BB6FFF" w:rsidRDefault="00BB6FFF" w:rsidP="00BB6FFF">
                              <w:pPr>
                                <w:spacing w:after="0" w:line="240" w:lineRule="auto"/>
                              </w:pPr>
                            </w:p>
                          </w:tc>
                        </w:tr>
                      </w:tbl>
                      <w:p w14:paraId="09EB2395" w14:textId="77777777" w:rsidR="00BB6FFF" w:rsidRPr="00BB6FFF" w:rsidRDefault="00BB6FFF" w:rsidP="00BB6FFF">
                        <w:pPr>
                          <w:spacing w:after="0" w:line="240" w:lineRule="auto"/>
                        </w:pPr>
                      </w:p>
                    </w:tc>
                  </w:tr>
                </w:tbl>
                <w:p w14:paraId="28C1D8F7"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2A8E218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268221AE" w14:textId="77777777">
                          <w:trPr>
                            <w:hidden/>
                          </w:trPr>
                          <w:tc>
                            <w:tcPr>
                              <w:tcW w:w="0" w:type="auto"/>
                              <w:tcBorders>
                                <w:top w:val="single" w:sz="12" w:space="0" w:color="106B62"/>
                                <w:left w:val="nil"/>
                                <w:bottom w:val="nil"/>
                                <w:right w:val="nil"/>
                              </w:tcBorders>
                              <w:vAlign w:val="center"/>
                              <w:hideMark/>
                            </w:tcPr>
                            <w:p w14:paraId="2FAD4D7B" w14:textId="77777777" w:rsidR="00BB6FFF" w:rsidRPr="00BB6FFF" w:rsidRDefault="00BB6FFF" w:rsidP="00BB6FFF">
                              <w:pPr>
                                <w:spacing w:after="0" w:line="240" w:lineRule="auto"/>
                                <w:rPr>
                                  <w:vanish/>
                                </w:rPr>
                              </w:pPr>
                            </w:p>
                          </w:tc>
                        </w:tr>
                      </w:tbl>
                      <w:p w14:paraId="6952DA50" w14:textId="77777777" w:rsidR="00BB6FFF" w:rsidRPr="00BB6FFF" w:rsidRDefault="00BB6FFF" w:rsidP="00BB6FFF">
                        <w:pPr>
                          <w:spacing w:after="0" w:line="240" w:lineRule="auto"/>
                        </w:pPr>
                      </w:p>
                    </w:tc>
                  </w:tr>
                </w:tbl>
                <w:p w14:paraId="29AA0D0B"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50D4B2F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B6FFF" w:rsidRPr="00BB6FFF" w14:paraId="095FF2D3" w14:textId="77777777">
                          <w:tc>
                            <w:tcPr>
                              <w:tcW w:w="0" w:type="auto"/>
                              <w:tcMar>
                                <w:top w:w="0" w:type="dxa"/>
                                <w:left w:w="135" w:type="dxa"/>
                                <w:bottom w:w="0" w:type="dxa"/>
                                <w:right w:w="135" w:type="dxa"/>
                              </w:tcMar>
                              <w:hideMark/>
                            </w:tcPr>
                            <w:p w14:paraId="7BC32B45" w14:textId="26951E4B" w:rsidR="00BB6FFF" w:rsidRPr="00BB6FFF" w:rsidRDefault="00BB6FFF" w:rsidP="00BB6FFF">
                              <w:pPr>
                                <w:spacing w:after="0" w:line="240" w:lineRule="auto"/>
                              </w:pPr>
                              <w:r w:rsidRPr="00BB6FFF">
                                <w:drawing>
                                  <wp:inline distT="0" distB="0" distL="0" distR="0" wp14:anchorId="3E4E06D5" wp14:editId="15E5A91B">
                                    <wp:extent cx="5372100" cy="1816100"/>
                                    <wp:effectExtent l="0" t="0" r="0" b="0"/>
                                    <wp:docPr id="615570214" name="Picture 1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816100"/>
                                            </a:xfrm>
                                            <a:prstGeom prst="rect">
                                              <a:avLst/>
                                            </a:prstGeom>
                                            <a:noFill/>
                                            <a:ln>
                                              <a:noFill/>
                                            </a:ln>
                                          </pic:spPr>
                                        </pic:pic>
                                      </a:graphicData>
                                    </a:graphic>
                                  </wp:inline>
                                </w:drawing>
                              </w:r>
                            </w:p>
                          </w:tc>
                        </w:tr>
                      </w:tbl>
                      <w:p w14:paraId="40F34CC3" w14:textId="77777777" w:rsidR="00BB6FFF" w:rsidRPr="00BB6FFF" w:rsidRDefault="00BB6FFF" w:rsidP="00BB6FFF">
                        <w:pPr>
                          <w:spacing w:after="0" w:line="240" w:lineRule="auto"/>
                        </w:pPr>
                      </w:p>
                    </w:tc>
                  </w:tr>
                </w:tbl>
                <w:p w14:paraId="0AE1F384"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08C7B4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699259C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7034708E" w14:textId="77777777">
                                <w:tc>
                                  <w:tcPr>
                                    <w:tcW w:w="0" w:type="auto"/>
                                    <w:tcMar>
                                      <w:top w:w="0" w:type="dxa"/>
                                      <w:left w:w="270" w:type="dxa"/>
                                      <w:bottom w:w="135" w:type="dxa"/>
                                      <w:right w:w="270" w:type="dxa"/>
                                    </w:tcMar>
                                    <w:hideMark/>
                                  </w:tcPr>
                                  <w:p w14:paraId="1947BD43" w14:textId="77777777" w:rsidR="00BB6FFF" w:rsidRPr="00BB6FFF" w:rsidRDefault="00BB6FFF" w:rsidP="00BB6FFF">
                                    <w:pPr>
                                      <w:spacing w:after="0" w:line="240" w:lineRule="auto"/>
                                    </w:pPr>
                                    <w:r w:rsidRPr="00BB6FFF">
                                      <w:rPr>
                                        <w:b/>
                                        <w:bCs/>
                                      </w:rPr>
                                      <w:t xml:space="preserve">Grab your seat: </w:t>
                                    </w:r>
                                    <w:hyperlink r:id="rId17" w:tooltip="https://cpe.org.uk/our-work/updates-events/our-events/regional-roadshows/" w:history="1">
                                      <w:r w:rsidRPr="00BB6FFF">
                                        <w:rPr>
                                          <w:rStyle w:val="Hyperlink"/>
                                          <w:b/>
                                          <w:bCs/>
                                        </w:rPr>
                                        <w:t>cpe.org.uk/roadshows</w:t>
                                      </w:r>
                                    </w:hyperlink>
                                  </w:p>
                                </w:tc>
                              </w:tr>
                            </w:tbl>
                            <w:p w14:paraId="26CEE0CA" w14:textId="77777777" w:rsidR="00BB6FFF" w:rsidRPr="00BB6FFF" w:rsidRDefault="00BB6FFF" w:rsidP="00BB6FFF">
                              <w:pPr>
                                <w:spacing w:after="0" w:line="240" w:lineRule="auto"/>
                              </w:pPr>
                            </w:p>
                          </w:tc>
                        </w:tr>
                      </w:tbl>
                      <w:p w14:paraId="2E8A400B" w14:textId="77777777" w:rsidR="00BB6FFF" w:rsidRPr="00BB6FFF" w:rsidRDefault="00BB6FFF" w:rsidP="00BB6FFF">
                        <w:pPr>
                          <w:spacing w:after="0" w:line="240" w:lineRule="auto"/>
                        </w:pPr>
                      </w:p>
                    </w:tc>
                  </w:tr>
                </w:tbl>
                <w:p w14:paraId="705C9A54"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495FE06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B6FFF" w:rsidRPr="00BB6FFF" w14:paraId="396CEBA1" w14:textId="77777777">
                          <w:trPr>
                            <w:hidden/>
                          </w:trPr>
                          <w:tc>
                            <w:tcPr>
                              <w:tcW w:w="0" w:type="auto"/>
                              <w:tcBorders>
                                <w:top w:val="single" w:sz="12" w:space="0" w:color="106B62"/>
                                <w:left w:val="nil"/>
                                <w:bottom w:val="nil"/>
                                <w:right w:val="nil"/>
                              </w:tcBorders>
                              <w:vAlign w:val="center"/>
                              <w:hideMark/>
                            </w:tcPr>
                            <w:p w14:paraId="2B9976BD" w14:textId="77777777" w:rsidR="00BB6FFF" w:rsidRPr="00BB6FFF" w:rsidRDefault="00BB6FFF" w:rsidP="00BB6FFF">
                              <w:pPr>
                                <w:spacing w:after="0" w:line="240" w:lineRule="auto"/>
                                <w:rPr>
                                  <w:vanish/>
                                </w:rPr>
                              </w:pPr>
                            </w:p>
                          </w:tc>
                        </w:tr>
                      </w:tbl>
                      <w:p w14:paraId="22985775" w14:textId="77777777" w:rsidR="00BB6FFF" w:rsidRPr="00BB6FFF" w:rsidRDefault="00BB6FFF" w:rsidP="00BB6FFF">
                        <w:pPr>
                          <w:spacing w:after="0" w:line="240" w:lineRule="auto"/>
                        </w:pPr>
                      </w:p>
                    </w:tc>
                  </w:tr>
                </w:tbl>
                <w:p w14:paraId="7E315C8F" w14:textId="77777777" w:rsidR="00BB6FFF" w:rsidRPr="00BB6FFF" w:rsidRDefault="00BB6FFF" w:rsidP="00BB6FFF">
                  <w:pPr>
                    <w:spacing w:after="0" w:line="240" w:lineRule="auto"/>
                  </w:pPr>
                </w:p>
              </w:tc>
            </w:tr>
            <w:tr w:rsidR="00BB6FFF" w:rsidRPr="00BB6FFF" w14:paraId="016BFD3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B6FFF" w:rsidRPr="00BB6FFF" w14:paraId="5595D1C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B6FFF" w:rsidRPr="00BB6FFF" w14:paraId="1A4588E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B6FFF" w:rsidRPr="00BB6FFF" w14:paraId="14ED396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B6FFF" w:rsidRPr="00BB6FFF" w14:paraId="1A039E7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B6FFF" w:rsidRPr="00BB6FFF" w14:paraId="5A70927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B6FFF" w:rsidRPr="00BB6FFF" w14:paraId="59171D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B6FFF" w:rsidRPr="00BB6FFF" w14:paraId="00C4DA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6FFF" w:rsidRPr="00BB6FFF" w14:paraId="3F1EAEFB" w14:textId="77777777">
                                                              <w:tc>
                                                                <w:tcPr>
                                                                  <w:tcW w:w="360" w:type="dxa"/>
                                                                  <w:vAlign w:val="center"/>
                                                                  <w:hideMark/>
                                                                </w:tcPr>
                                                                <w:p w14:paraId="39710020" w14:textId="08D69136" w:rsidR="00BB6FFF" w:rsidRPr="00BB6FFF" w:rsidRDefault="00BB6FFF" w:rsidP="00BB6FFF">
                                                                  <w:pPr>
                                                                    <w:spacing w:after="0" w:line="240" w:lineRule="auto"/>
                                                                  </w:pPr>
                                                                  <w:r w:rsidRPr="00BB6FFF">
                                                                    <w:lastRenderedPageBreak/>
                                                                    <w:drawing>
                                                                      <wp:inline distT="0" distB="0" distL="0" distR="0" wp14:anchorId="5268EB46" wp14:editId="0D080C8F">
                                                                        <wp:extent cx="228600" cy="228600"/>
                                                                        <wp:effectExtent l="0" t="0" r="0" b="0"/>
                                                                        <wp:docPr id="871998280"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72BA77B" w14:textId="77777777" w:rsidR="00BB6FFF" w:rsidRPr="00BB6FFF" w:rsidRDefault="00BB6FFF" w:rsidP="00BB6FFF">
                                                            <w:pPr>
                                                              <w:spacing w:after="0" w:line="240" w:lineRule="auto"/>
                                                            </w:pPr>
                                                          </w:p>
                                                        </w:tc>
                                                      </w:tr>
                                                    </w:tbl>
                                                    <w:p w14:paraId="1AFC38AE" w14:textId="77777777" w:rsidR="00BB6FFF" w:rsidRPr="00BB6FFF" w:rsidRDefault="00BB6FFF" w:rsidP="00BB6FFF">
                                                      <w:pPr>
                                                        <w:spacing w:after="0" w:line="240" w:lineRule="auto"/>
                                                      </w:pPr>
                                                    </w:p>
                                                  </w:tc>
                                                </w:tr>
                                              </w:tbl>
                                              <w:p w14:paraId="66DBC4CA" w14:textId="77777777" w:rsidR="00BB6FFF" w:rsidRPr="00BB6FFF" w:rsidRDefault="00BB6FFF" w:rsidP="00BB6FF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B6FFF" w:rsidRPr="00BB6FFF" w14:paraId="74A972F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B6FFF" w:rsidRPr="00BB6FFF" w14:paraId="6BD2836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6FFF" w:rsidRPr="00BB6FFF" w14:paraId="2304308E" w14:textId="77777777">
                                                              <w:tc>
                                                                <w:tcPr>
                                                                  <w:tcW w:w="360" w:type="dxa"/>
                                                                  <w:vAlign w:val="center"/>
                                                                  <w:hideMark/>
                                                                </w:tcPr>
                                                                <w:p w14:paraId="181970AC" w14:textId="0F6E0A9F" w:rsidR="00BB6FFF" w:rsidRPr="00BB6FFF" w:rsidRDefault="00BB6FFF" w:rsidP="00BB6FFF">
                                                                  <w:pPr>
                                                                    <w:spacing w:after="0" w:line="240" w:lineRule="auto"/>
                                                                  </w:pPr>
                                                                  <w:r w:rsidRPr="00BB6FFF">
                                                                    <w:drawing>
                                                                      <wp:inline distT="0" distB="0" distL="0" distR="0" wp14:anchorId="1E16CABA" wp14:editId="46824A6D">
                                                                        <wp:extent cx="228600" cy="228600"/>
                                                                        <wp:effectExtent l="0" t="0" r="0" b="0"/>
                                                                        <wp:docPr id="1040013703"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C788A8" w14:textId="77777777" w:rsidR="00BB6FFF" w:rsidRPr="00BB6FFF" w:rsidRDefault="00BB6FFF" w:rsidP="00BB6FFF">
                                                            <w:pPr>
                                                              <w:spacing w:after="0" w:line="240" w:lineRule="auto"/>
                                                            </w:pPr>
                                                          </w:p>
                                                        </w:tc>
                                                      </w:tr>
                                                    </w:tbl>
                                                    <w:p w14:paraId="0607CF54" w14:textId="77777777" w:rsidR="00BB6FFF" w:rsidRPr="00BB6FFF" w:rsidRDefault="00BB6FFF" w:rsidP="00BB6FFF">
                                                      <w:pPr>
                                                        <w:spacing w:after="0" w:line="240" w:lineRule="auto"/>
                                                      </w:pPr>
                                                    </w:p>
                                                  </w:tc>
                                                </w:tr>
                                              </w:tbl>
                                              <w:p w14:paraId="23ABBF47" w14:textId="77777777" w:rsidR="00BB6FFF" w:rsidRPr="00BB6FFF" w:rsidRDefault="00BB6FFF" w:rsidP="00BB6FF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B6FFF" w:rsidRPr="00BB6FFF" w14:paraId="1C354C8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B6FFF" w:rsidRPr="00BB6FFF" w14:paraId="632C2EB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6FFF" w:rsidRPr="00BB6FFF" w14:paraId="3A8B2164" w14:textId="77777777">
                                                              <w:tc>
                                                                <w:tcPr>
                                                                  <w:tcW w:w="360" w:type="dxa"/>
                                                                  <w:vAlign w:val="center"/>
                                                                  <w:hideMark/>
                                                                </w:tcPr>
                                                                <w:p w14:paraId="0ED5C8F5" w14:textId="5FD0A481" w:rsidR="00BB6FFF" w:rsidRPr="00BB6FFF" w:rsidRDefault="00BB6FFF" w:rsidP="00BB6FFF">
                                                                  <w:pPr>
                                                                    <w:spacing w:after="0" w:line="240" w:lineRule="auto"/>
                                                                  </w:pPr>
                                                                  <w:r w:rsidRPr="00BB6FFF">
                                                                    <w:drawing>
                                                                      <wp:inline distT="0" distB="0" distL="0" distR="0" wp14:anchorId="6B6C036E" wp14:editId="204DB2CA">
                                                                        <wp:extent cx="228600" cy="228600"/>
                                                                        <wp:effectExtent l="0" t="0" r="0" b="0"/>
                                                                        <wp:docPr id="181011454"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8CD0A0" w14:textId="77777777" w:rsidR="00BB6FFF" w:rsidRPr="00BB6FFF" w:rsidRDefault="00BB6FFF" w:rsidP="00BB6FFF">
                                                            <w:pPr>
                                                              <w:spacing w:after="0" w:line="240" w:lineRule="auto"/>
                                                            </w:pPr>
                                                          </w:p>
                                                        </w:tc>
                                                      </w:tr>
                                                    </w:tbl>
                                                    <w:p w14:paraId="3108085B" w14:textId="77777777" w:rsidR="00BB6FFF" w:rsidRPr="00BB6FFF" w:rsidRDefault="00BB6FFF" w:rsidP="00BB6FFF">
                                                      <w:pPr>
                                                        <w:spacing w:after="0" w:line="240" w:lineRule="auto"/>
                                                      </w:pPr>
                                                    </w:p>
                                                  </w:tc>
                                                </w:tr>
                                              </w:tbl>
                                              <w:p w14:paraId="43C66742" w14:textId="77777777" w:rsidR="00BB6FFF" w:rsidRPr="00BB6FFF" w:rsidRDefault="00BB6FFF" w:rsidP="00BB6FF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B6FFF" w:rsidRPr="00BB6FFF" w14:paraId="228DE64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B6FFF" w:rsidRPr="00BB6FFF" w14:paraId="4164555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B6FFF" w:rsidRPr="00BB6FFF" w14:paraId="5BBC1231" w14:textId="77777777">
                                                              <w:tc>
                                                                <w:tcPr>
                                                                  <w:tcW w:w="360" w:type="dxa"/>
                                                                  <w:vAlign w:val="center"/>
                                                                  <w:hideMark/>
                                                                </w:tcPr>
                                                                <w:p w14:paraId="2D7424FF" w14:textId="6591F589" w:rsidR="00BB6FFF" w:rsidRPr="00BB6FFF" w:rsidRDefault="00BB6FFF" w:rsidP="00BB6FFF">
                                                                  <w:pPr>
                                                                    <w:spacing w:after="0" w:line="240" w:lineRule="auto"/>
                                                                  </w:pPr>
                                                                  <w:r w:rsidRPr="00BB6FFF">
                                                                    <w:drawing>
                                                                      <wp:inline distT="0" distB="0" distL="0" distR="0" wp14:anchorId="29CC8634" wp14:editId="1ECACFC8">
                                                                        <wp:extent cx="228600" cy="228600"/>
                                                                        <wp:effectExtent l="0" t="0" r="0" b="0"/>
                                                                        <wp:docPr id="1322159073"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12CD8C" w14:textId="77777777" w:rsidR="00BB6FFF" w:rsidRPr="00BB6FFF" w:rsidRDefault="00BB6FFF" w:rsidP="00BB6FFF">
                                                            <w:pPr>
                                                              <w:spacing w:after="0" w:line="240" w:lineRule="auto"/>
                                                            </w:pPr>
                                                          </w:p>
                                                        </w:tc>
                                                      </w:tr>
                                                    </w:tbl>
                                                    <w:p w14:paraId="412AD082" w14:textId="77777777" w:rsidR="00BB6FFF" w:rsidRPr="00BB6FFF" w:rsidRDefault="00BB6FFF" w:rsidP="00BB6FFF">
                                                      <w:pPr>
                                                        <w:spacing w:after="0" w:line="240" w:lineRule="auto"/>
                                                      </w:pPr>
                                                    </w:p>
                                                  </w:tc>
                                                </w:tr>
                                              </w:tbl>
                                              <w:p w14:paraId="38C78CC7" w14:textId="77777777" w:rsidR="00BB6FFF" w:rsidRPr="00BB6FFF" w:rsidRDefault="00BB6FFF" w:rsidP="00BB6FFF">
                                                <w:pPr>
                                                  <w:spacing w:after="0" w:line="240" w:lineRule="auto"/>
                                                </w:pPr>
                                              </w:p>
                                            </w:tc>
                                          </w:tr>
                                        </w:tbl>
                                        <w:p w14:paraId="2BB0002E" w14:textId="77777777" w:rsidR="00BB6FFF" w:rsidRPr="00BB6FFF" w:rsidRDefault="00BB6FFF" w:rsidP="00BB6FFF">
                                          <w:pPr>
                                            <w:spacing w:after="0" w:line="240" w:lineRule="auto"/>
                                          </w:pPr>
                                        </w:p>
                                      </w:tc>
                                    </w:tr>
                                  </w:tbl>
                                  <w:p w14:paraId="17E3B040" w14:textId="77777777" w:rsidR="00BB6FFF" w:rsidRPr="00BB6FFF" w:rsidRDefault="00BB6FFF" w:rsidP="00BB6FFF">
                                    <w:pPr>
                                      <w:spacing w:after="0" w:line="240" w:lineRule="auto"/>
                                    </w:pPr>
                                  </w:p>
                                </w:tc>
                              </w:tr>
                            </w:tbl>
                            <w:p w14:paraId="6BBF0591" w14:textId="77777777" w:rsidR="00BB6FFF" w:rsidRPr="00BB6FFF" w:rsidRDefault="00BB6FFF" w:rsidP="00BB6FFF">
                              <w:pPr>
                                <w:spacing w:after="0" w:line="240" w:lineRule="auto"/>
                              </w:pPr>
                            </w:p>
                          </w:tc>
                        </w:tr>
                      </w:tbl>
                      <w:p w14:paraId="78A10DA8" w14:textId="77777777" w:rsidR="00BB6FFF" w:rsidRPr="00BB6FFF" w:rsidRDefault="00BB6FFF" w:rsidP="00BB6FFF">
                        <w:pPr>
                          <w:spacing w:after="0" w:line="240" w:lineRule="auto"/>
                        </w:pPr>
                      </w:p>
                    </w:tc>
                  </w:tr>
                </w:tbl>
                <w:p w14:paraId="6F9DA0EC" w14:textId="77777777" w:rsidR="00BB6FFF" w:rsidRPr="00BB6FFF" w:rsidRDefault="00BB6FFF" w:rsidP="00BB6FF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B6FFF" w:rsidRPr="00BB6FFF" w14:paraId="685EB5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364A010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B6FFF" w:rsidRPr="00BB6FFF" w14:paraId="15F78029" w14:textId="77777777">
                                <w:tc>
                                  <w:tcPr>
                                    <w:tcW w:w="0" w:type="auto"/>
                                    <w:tcMar>
                                      <w:top w:w="0" w:type="dxa"/>
                                      <w:left w:w="270" w:type="dxa"/>
                                      <w:bottom w:w="135" w:type="dxa"/>
                                      <w:right w:w="270" w:type="dxa"/>
                                    </w:tcMar>
                                    <w:hideMark/>
                                  </w:tcPr>
                                  <w:p w14:paraId="0D337194" w14:textId="77777777" w:rsidR="00BB6FFF" w:rsidRPr="00BB6FFF" w:rsidRDefault="00BB6FFF" w:rsidP="00BB6FFF">
                                    <w:pPr>
                                      <w:spacing w:after="0" w:line="240" w:lineRule="auto"/>
                                      <w:jc w:val="center"/>
                                    </w:pPr>
                                    <w:r w:rsidRPr="00BB6FFF">
                                      <w:rPr>
                                        <w:b/>
                                        <w:bCs/>
                                      </w:rPr>
                                      <w:t>Community Pharmacy England</w:t>
                                    </w:r>
                                    <w:r w:rsidRPr="00BB6FFF">
                                      <w:br/>
                                      <w:t>Address: 14 Hosier Lane, London EC1A 9LQ</w:t>
                                    </w:r>
                                    <w:r w:rsidRPr="00BB6FFF">
                                      <w:br/>
                                      <w:t xml:space="preserve">Tel: 0203 1220 810 | Email: </w:t>
                                    </w:r>
                                    <w:hyperlink r:id="rId26" w:history="1">
                                      <w:r w:rsidRPr="00BB6FFF">
                                        <w:rPr>
                                          <w:rStyle w:val="Hyperlink"/>
                                        </w:rPr>
                                        <w:t>comms.team@cpe.org.uk</w:t>
                                      </w:r>
                                    </w:hyperlink>
                                  </w:p>
                                  <w:p w14:paraId="0998E75A" w14:textId="77777777" w:rsidR="00BB6FFF" w:rsidRPr="00BB6FFF" w:rsidRDefault="00BB6FFF" w:rsidP="00BB6FFF">
                                    <w:pPr>
                                      <w:spacing w:after="0" w:line="240" w:lineRule="auto"/>
                                      <w:jc w:val="center"/>
                                    </w:pPr>
                                    <w:r w:rsidRPr="00BB6FFF">
                                      <w:rPr>
                                        <w:i/>
                                        <w:iCs/>
                                      </w:rPr>
                                      <w:t xml:space="preserve">Copyright © 2026 Community Pharmacy England, </w:t>
                                    </w:r>
                                    <w:proofErr w:type="gramStart"/>
                                    <w:r w:rsidRPr="00BB6FFF">
                                      <w:rPr>
                                        <w:i/>
                                        <w:iCs/>
                                      </w:rPr>
                                      <w:t>All</w:t>
                                    </w:r>
                                    <w:proofErr w:type="gramEnd"/>
                                    <w:r w:rsidRPr="00BB6FFF">
                                      <w:rPr>
                                        <w:i/>
                                        <w:iCs/>
                                      </w:rPr>
                                      <w:t xml:space="preserve"> rights reserved.</w:t>
                                    </w:r>
                                  </w:p>
                                  <w:p w14:paraId="1BBF539D" w14:textId="5FFFA95A" w:rsidR="00BB6FFF" w:rsidRPr="00BB6FFF" w:rsidRDefault="00BB6FFF" w:rsidP="00BB6FFF">
                                    <w:pPr>
                                      <w:spacing w:after="0" w:line="240" w:lineRule="auto"/>
                                      <w:jc w:val="center"/>
                                    </w:pPr>
                                    <w:r w:rsidRPr="00BB6FFF">
                                      <w:t>You are receiving this email because you are subscribed to our newsletters. Community Pharmacy England is the operating name of the Pharmaceutical Services Negotiating Committee (PSNC).</w:t>
                                    </w:r>
                                  </w:p>
                                </w:tc>
                              </w:tr>
                            </w:tbl>
                            <w:p w14:paraId="52FC5B5E" w14:textId="77777777" w:rsidR="00BB6FFF" w:rsidRPr="00BB6FFF" w:rsidRDefault="00BB6FFF" w:rsidP="00BB6FFF">
                              <w:pPr>
                                <w:spacing w:after="0" w:line="240" w:lineRule="auto"/>
                              </w:pPr>
                            </w:p>
                          </w:tc>
                        </w:tr>
                      </w:tbl>
                      <w:p w14:paraId="50159E17" w14:textId="77777777" w:rsidR="00BB6FFF" w:rsidRPr="00BB6FFF" w:rsidRDefault="00BB6FFF" w:rsidP="00BB6FFF">
                        <w:pPr>
                          <w:spacing w:after="0" w:line="240" w:lineRule="auto"/>
                        </w:pPr>
                      </w:p>
                    </w:tc>
                  </w:tr>
                </w:tbl>
                <w:p w14:paraId="14685405" w14:textId="77777777" w:rsidR="00BB6FFF" w:rsidRPr="00BB6FFF" w:rsidRDefault="00BB6FFF" w:rsidP="00BB6FFF">
                  <w:pPr>
                    <w:spacing w:after="0" w:line="240" w:lineRule="auto"/>
                  </w:pPr>
                </w:p>
              </w:tc>
            </w:tr>
          </w:tbl>
          <w:p w14:paraId="26DDDFB4" w14:textId="77777777" w:rsidR="00BB6FFF" w:rsidRPr="00BB6FFF" w:rsidRDefault="00BB6FFF" w:rsidP="00BB6FFF">
            <w:pPr>
              <w:spacing w:after="0" w:line="240" w:lineRule="auto"/>
            </w:pPr>
          </w:p>
        </w:tc>
      </w:tr>
    </w:tbl>
    <w:p w14:paraId="700F2ABB"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F"/>
    <w:rsid w:val="00413E92"/>
    <w:rsid w:val="006A6164"/>
    <w:rsid w:val="00B96193"/>
    <w:rsid w:val="00BB6FFF"/>
    <w:rsid w:val="00E15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E13D"/>
  <w15:chartTrackingRefBased/>
  <w15:docId w15:val="{D7C29496-0658-4652-B6B0-4AD8374B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FFF"/>
    <w:rPr>
      <w:rFonts w:eastAsiaTheme="majorEastAsia" w:cstheme="majorBidi"/>
      <w:color w:val="272727" w:themeColor="text1" w:themeTint="D8"/>
    </w:rPr>
  </w:style>
  <w:style w:type="paragraph" w:styleId="Title">
    <w:name w:val="Title"/>
    <w:basedOn w:val="Normal"/>
    <w:next w:val="Normal"/>
    <w:link w:val="TitleChar"/>
    <w:uiPriority w:val="10"/>
    <w:qFormat/>
    <w:rsid w:val="00BB6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FFF"/>
    <w:pPr>
      <w:spacing w:before="160"/>
      <w:jc w:val="center"/>
    </w:pPr>
    <w:rPr>
      <w:i/>
      <w:iCs/>
      <w:color w:val="404040" w:themeColor="text1" w:themeTint="BF"/>
    </w:rPr>
  </w:style>
  <w:style w:type="character" w:customStyle="1" w:styleId="QuoteChar">
    <w:name w:val="Quote Char"/>
    <w:basedOn w:val="DefaultParagraphFont"/>
    <w:link w:val="Quote"/>
    <w:uiPriority w:val="29"/>
    <w:rsid w:val="00BB6FFF"/>
    <w:rPr>
      <w:i/>
      <w:iCs/>
      <w:color w:val="404040" w:themeColor="text1" w:themeTint="BF"/>
    </w:rPr>
  </w:style>
  <w:style w:type="paragraph" w:styleId="ListParagraph">
    <w:name w:val="List Paragraph"/>
    <w:basedOn w:val="Normal"/>
    <w:uiPriority w:val="34"/>
    <w:qFormat/>
    <w:rsid w:val="00BB6FFF"/>
    <w:pPr>
      <w:ind w:left="720"/>
      <w:contextualSpacing/>
    </w:pPr>
  </w:style>
  <w:style w:type="character" w:styleId="IntenseEmphasis">
    <w:name w:val="Intense Emphasis"/>
    <w:basedOn w:val="DefaultParagraphFont"/>
    <w:uiPriority w:val="21"/>
    <w:qFormat/>
    <w:rsid w:val="00BB6FFF"/>
    <w:rPr>
      <w:i/>
      <w:iCs/>
      <w:color w:val="0F4761" w:themeColor="accent1" w:themeShade="BF"/>
    </w:rPr>
  </w:style>
  <w:style w:type="paragraph" w:styleId="IntenseQuote">
    <w:name w:val="Intense Quote"/>
    <w:basedOn w:val="Normal"/>
    <w:next w:val="Normal"/>
    <w:link w:val="IntenseQuoteChar"/>
    <w:uiPriority w:val="30"/>
    <w:qFormat/>
    <w:rsid w:val="00BB6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FFF"/>
    <w:rPr>
      <w:i/>
      <w:iCs/>
      <w:color w:val="0F4761" w:themeColor="accent1" w:themeShade="BF"/>
    </w:rPr>
  </w:style>
  <w:style w:type="character" w:styleId="IntenseReference">
    <w:name w:val="Intense Reference"/>
    <w:basedOn w:val="DefaultParagraphFont"/>
    <w:uiPriority w:val="32"/>
    <w:qFormat/>
    <w:rsid w:val="00BB6FFF"/>
    <w:rPr>
      <w:b/>
      <w:bCs/>
      <w:smallCaps/>
      <w:color w:val="0F4761" w:themeColor="accent1" w:themeShade="BF"/>
      <w:spacing w:val="5"/>
    </w:rPr>
  </w:style>
  <w:style w:type="character" w:styleId="Hyperlink">
    <w:name w:val="Hyperlink"/>
    <w:basedOn w:val="DefaultParagraphFont"/>
    <w:uiPriority w:val="99"/>
    <w:unhideWhenUsed/>
    <w:rsid w:val="00BB6FFF"/>
    <w:rPr>
      <w:color w:val="467886" w:themeColor="hyperlink"/>
      <w:u w:val="single"/>
    </w:rPr>
  </w:style>
  <w:style w:type="character" w:styleId="UnresolvedMention">
    <w:name w:val="Unresolved Mention"/>
    <w:basedOn w:val="DefaultParagraphFont"/>
    <w:uiPriority w:val="99"/>
    <w:semiHidden/>
    <w:unhideWhenUsed/>
    <w:rsid w:val="00BB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5af4fb7680&amp;e=d19e9fd41c" TargetMode="External"/><Relationship Id="rId18" Type="http://schemas.openxmlformats.org/officeDocument/2006/relationships/hyperlink" Target="https://cpe.us7.list-manage.com/track/click?u=86d41ab7fa4c7c2c5d7210782&amp;id=bda40cc3c7&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b95fbf7f7a&amp;e=d19e9fd41c" TargetMode="External"/><Relationship Id="rId12" Type="http://schemas.openxmlformats.org/officeDocument/2006/relationships/hyperlink" Target="https://cpe.us7.list-manage.com/track/click?u=86d41ab7fa4c7c2c5d7210782&amp;id=eb4aad9740&amp;e=d19e9fd41c" TargetMode="External"/><Relationship Id="rId17" Type="http://schemas.openxmlformats.org/officeDocument/2006/relationships/hyperlink" Target="https://cpe.us7.list-manage.com/track/click?u=86d41ab7fa4c7c2c5d7210782&amp;id=75b48018f2&amp;e=d19e9fd41c" TargetMode="External"/><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cpe.us7.list-manage.com/track/click?u=86d41ab7fa4c7c2c5d7210782&amp;id=6f064545b0&amp;e=d19e9fd41c"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658f823ed&amp;e=d19e9fd41c" TargetMode="External"/><Relationship Id="rId24" Type="http://schemas.openxmlformats.org/officeDocument/2006/relationships/hyperlink" Target="https://cpe.us7.list-manage.com/track/click?u=86d41ab7fa4c7c2c5d7210782&amp;id=1a8f87028c&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39ca6ca628&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hyperlink" Target="https://cpe.us7.list-manage.com/track/click?u=86d41ab7fa4c7c2c5d7210782&amp;id=43e905daa2&amp;e=d19e9fd41c" TargetMode="External"/><Relationship Id="rId9" Type="http://schemas.openxmlformats.org/officeDocument/2006/relationships/hyperlink" Target="https://cpe.us7.list-manage.com/track/click?u=86d41ab7fa4c7c2c5d7210782&amp;id=8e8c101a33&amp;e=d19e9fd41c" TargetMode="External"/><Relationship Id="rId14" Type="http://schemas.openxmlformats.org/officeDocument/2006/relationships/hyperlink" Target="https://cpe.us7.list-manage.com/track/click?u=86d41ab7fa4c7c2c5d7210782&amp;id=25e315932d&amp;e=d19e9fd41c" TargetMode="External"/><Relationship Id="rId22" Type="http://schemas.openxmlformats.org/officeDocument/2006/relationships/hyperlink" Target="https://cpe.us7.list-manage.com/track/click?u=86d41ab7fa4c7c2c5d7210782&amp;id=0faa575c4f&amp;e=d19e9fd41c"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ACD9ECF-66C3-47CB-B36A-B909C11F3E13}"/>
</file>

<file path=customXml/itemProps2.xml><?xml version="1.0" encoding="utf-8"?>
<ds:datastoreItem xmlns:ds="http://schemas.openxmlformats.org/officeDocument/2006/customXml" ds:itemID="{50D41FE0-6022-42CA-9AC2-C9E065575402}"/>
</file>

<file path=customXml/itemProps3.xml><?xml version="1.0" encoding="utf-8"?>
<ds:datastoreItem xmlns:ds="http://schemas.openxmlformats.org/officeDocument/2006/customXml" ds:itemID="{B9EC3FED-0832-4A81-A544-8454692A3B7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2026-05-19T13:04:00Z</dcterms:created>
  <dcterms:modified xsi:type="dcterms:W3CDTF">2026-05-19T13:05:00Z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