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7E5CDA">
                          <w:rPr>
                            <w:noProof/>
                          </w:rPr>
                          <w:fldChar w:fldCharType="begin"/>
                        </w:r>
                        <w:r w:rsidR="007E5CDA">
                          <w:rPr>
                            <w:noProof/>
                          </w:rPr>
                          <w:instrText xml:space="preserve"> </w:instrText>
                        </w:r>
                        <w:r w:rsidR="007E5CDA">
                          <w:rPr>
                            <w:noProof/>
                          </w:rPr>
                          <w:instrText>INCLUDEPICTURE  "/var/folders/zq/_hgbfm5j5m929n</w:instrText>
                        </w:r>
                        <w:r w:rsidR="007E5CDA">
                          <w:rPr>
                            <w:noProof/>
                          </w:rPr>
                          <w:instrText>sq7yq0snt00000gn/T/com.microsoft.Word/WebArchiveCopyPasteTempFiles/001d399a-96a4-4e1f-b905-a21d530b5d29.jpg" \* MERGEFORMATINET</w:instrText>
                        </w:r>
                        <w:r w:rsidR="007E5CDA">
                          <w:rPr>
                            <w:noProof/>
                          </w:rPr>
                          <w:instrText xml:space="preserve"> </w:instrText>
                        </w:r>
                        <w:r w:rsidR="007E5CDA">
                          <w:rPr>
                            <w:noProof/>
                          </w:rPr>
                          <w:fldChar w:fldCharType="separate"/>
                        </w:r>
                        <w:r w:rsidR="007E5CDA">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7E5CDA">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72FD36E7" w:rsidR="002F42A7" w:rsidRPr="00DE6A3B" w:rsidRDefault="00115F51"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w:t>
                        </w:r>
                        <w:r w:rsidR="003C0184">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8</w:t>
                        </w:r>
                        <w:r w:rsidR="00DE6751" w:rsidRPr="00DE6751">
                          <w:rPr>
                            <w:rFonts w:ascii="Tahoma" w:hAnsi="Tahoma" w:cs="Tahoma"/>
                            <w:color w:val="93378A"/>
                            <w:sz w:val="30"/>
                            <w:szCs w:val="30"/>
                            <w:vertAlign w:val="superscript"/>
                          </w:rPr>
                          <w:t>th</w:t>
                        </w:r>
                        <w:r w:rsidR="00DE6751">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7E5CDA">
                    <w:rPr>
                      <w:rFonts w:ascii="Helvetica" w:hAnsi="Helvetica"/>
                      <w:noProof/>
                      <w:color w:val="000000"/>
                      <w:sz w:val="18"/>
                      <w:szCs w:val="18"/>
                    </w:rPr>
                    <w:fldChar w:fldCharType="begin"/>
                  </w:r>
                  <w:r w:rsidR="007E5CDA">
                    <w:rPr>
                      <w:rFonts w:ascii="Helvetica" w:hAnsi="Helvetica"/>
                      <w:noProof/>
                      <w:color w:val="000000"/>
                      <w:sz w:val="18"/>
                      <w:szCs w:val="18"/>
                    </w:rPr>
                    <w:instrText xml:space="preserve"> </w:instrText>
                  </w:r>
                  <w:r w:rsidR="007E5CDA">
                    <w:rPr>
                      <w:rFonts w:ascii="Helvetica" w:hAnsi="Helvetica"/>
                      <w:noProof/>
                      <w:color w:val="000000"/>
                      <w:sz w:val="18"/>
                      <w:szCs w:val="18"/>
                    </w:rPr>
                    <w:instrText>INCLUDEPICTURE  "/var/folders/zq/_hgbfm5j5m929nsq7yq0snt00000gn/T/com.microsoft.Word/WebArchiveCopyPasteTempFiles/Newsletter-style-bar.png" \* MERGEFORMATINET</w:instrText>
                  </w:r>
                  <w:r w:rsidR="007E5CDA">
                    <w:rPr>
                      <w:rFonts w:ascii="Helvetica" w:hAnsi="Helvetica"/>
                      <w:noProof/>
                      <w:color w:val="000000"/>
                      <w:sz w:val="18"/>
                      <w:szCs w:val="18"/>
                    </w:rPr>
                    <w:instrText xml:space="preserve"> </w:instrText>
                  </w:r>
                  <w:r w:rsidR="007E5CDA">
                    <w:rPr>
                      <w:rFonts w:ascii="Helvetica" w:hAnsi="Helvetica"/>
                      <w:noProof/>
                      <w:color w:val="000000"/>
                      <w:sz w:val="18"/>
                      <w:szCs w:val="18"/>
                    </w:rPr>
                    <w:fldChar w:fldCharType="separate"/>
                  </w:r>
                  <w:r w:rsidR="007E5CDA">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7E5CDA">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7E5CDA"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6459648A" w14:textId="77777777" w:rsidR="00115F51" w:rsidRDefault="00115F51" w:rsidP="00115F51">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New advice for the Oxford/AstraZeneca vaccine; BOPA e-learning; R</w:t>
                        </w:r>
                        <w:r>
                          <w:rPr>
                            <w:rStyle w:val="Strong"/>
                            <w:rFonts w:ascii="Tahoma" w:hAnsi="Tahoma" w:cs="Tahoma"/>
                            <w:b/>
                            <w:bCs/>
                            <w:color w:val="4E3487"/>
                            <w:sz w:val="30"/>
                            <w:szCs w:val="30"/>
                          </w:rPr>
                          <w:t>PS Expert Advisory Groups Applications.</w:t>
                        </w:r>
                      </w:p>
                      <w:p w14:paraId="5472FDD7" w14:textId="77777777" w:rsidR="00115F51" w:rsidRPr="00115F51" w:rsidRDefault="00115F51" w:rsidP="00115F51">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115F51">
                          <w:rPr>
                            <w:rFonts w:ascii="Tahoma" w:hAnsi="Tahoma" w:cs="Tahoma"/>
                            <w:b/>
                            <w:bCs/>
                            <w:color w:val="4E3487"/>
                            <w:sz w:val="28"/>
                            <w:szCs w:val="28"/>
                          </w:rPr>
                          <w:t>C-19 Vaccines Update: New advice for the Oxford/AstraZeneca vaccine</w:t>
                        </w:r>
                      </w:p>
                      <w:p w14:paraId="5A80F6AC" w14:textId="77777777" w:rsidR="00115F51" w:rsidRDefault="00115F51" w:rsidP="00115F51">
                        <w:pPr>
                          <w:spacing w:before="240" w:after="240"/>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Medicines and Healthcare products Regulatory Agency (MHRA) has issued new advice to C-19 vaccination providers about the use of the Oxford/AstraZeneca vaccine.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Following a thorough review into reports of a very rare type of blood clot in the brain, the MHRA is advising that everybody who has already had a first dose of the AstraZeneca vaccine, excluding those people who experienced blood clots with low platelet counts from their first dose, should receive a second dose of the same brand, irrespective of age. It also recommends that it is preferable for people under the age of 30 with no underlying health conditions to be offered an alternative vaccine where possible once they are eligible.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Updated information and guidance about blood clotting and the Oxford/AstraZeneca vaccine is being provided for both the public and healthcare professionals.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new MHRA advice</w:t>
                          </w:r>
                        </w:hyperlink>
                      </w:p>
                      <w:p w14:paraId="20840EF6" w14:textId="77777777" w:rsidR="00115F51" w:rsidRPr="00115F51" w:rsidRDefault="00115F51" w:rsidP="00115F51">
                        <w:pPr>
                          <w:pStyle w:val="Heading3"/>
                          <w:spacing w:before="240" w:after="240"/>
                          <w:rPr>
                            <w:rFonts w:ascii="Tahoma" w:hAnsi="Tahoma" w:cs="Tahoma"/>
                            <w:b/>
                            <w:bCs/>
                            <w:color w:val="4E3487"/>
                          </w:rPr>
                        </w:pPr>
                        <w:r>
                          <w:rPr>
                            <w:rFonts w:ascii="Tahoma" w:hAnsi="Tahoma" w:cs="Tahoma"/>
                            <w:color w:val="4E3487"/>
                          </w:rPr>
                          <w:br/>
                        </w:r>
                        <w:r w:rsidRPr="00115F51">
                          <w:rPr>
                            <w:rFonts w:ascii="Tahoma" w:hAnsi="Tahoma" w:cs="Tahoma"/>
                            <w:b/>
                            <w:bCs/>
                            <w:color w:val="4E3487"/>
                            <w:sz w:val="28"/>
                            <w:szCs w:val="28"/>
                          </w:rPr>
                          <w:t>BOPA ‘Let’s Communicate Cancer Series’</w:t>
                        </w:r>
                      </w:p>
                      <w:p w14:paraId="053EAB1E" w14:textId="77777777" w:rsidR="00115F51" w:rsidRDefault="00115F51" w:rsidP="00115F51">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British Oncology Pharmacy Association (BOPA) has launched an educational series on how to discuss cancer, which may be useful for community pharmacy teams. ‘Let’s Communicate Cancer’ is free and easily accessible e-learning that teaches healthcare professionals about cancer from basics to detail.</w:t>
                        </w:r>
                      </w:p>
                      <w:p w14:paraId="503756C5" w14:textId="77777777" w:rsidR="00115F51" w:rsidRDefault="00115F51" w:rsidP="00115F51">
                        <w:pPr>
                          <w:rPr>
                            <w:rFonts w:ascii="Tahoma" w:hAnsi="Tahoma" w:cs="Tahoma"/>
                            <w:color w:val="303030"/>
                            <w:sz w:val="21"/>
                            <w:szCs w:val="21"/>
                          </w:rPr>
                        </w:pPr>
                        <w:r>
                          <w:rPr>
                            <w:rFonts w:ascii="Tahoma" w:hAnsi="Tahoma" w:cs="Tahoma"/>
                            <w:color w:val="303030"/>
                            <w:sz w:val="21"/>
                            <w:szCs w:val="21"/>
                          </w:rPr>
                          <w:t> </w:t>
                        </w:r>
                      </w:p>
                      <w:p w14:paraId="7608983B" w14:textId="77777777" w:rsidR="00115F51" w:rsidRDefault="00115F51" w:rsidP="00115F51">
                        <w:pPr>
                          <w:jc w:val="both"/>
                          <w:rPr>
                            <w:rFonts w:ascii="Tahoma" w:hAnsi="Tahoma" w:cs="Tahoma"/>
                            <w:color w:val="303030"/>
                            <w:sz w:val="21"/>
                            <w:szCs w:val="21"/>
                          </w:rPr>
                        </w:pPr>
                        <w:r>
                          <w:rPr>
                            <w:rFonts w:ascii="Tahoma" w:hAnsi="Tahoma" w:cs="Tahoma"/>
                            <w:color w:val="303030"/>
                            <w:sz w:val="21"/>
                            <w:szCs w:val="21"/>
                          </w:rPr>
                          <w:t>Given that the Healthy Living Pharmacy (HLP) requirements became a part of the new Terms of Service for all pharmacies from </w:t>
                        </w:r>
                        <w:hyperlink r:id="rId10" w:history="1">
                          <w:r>
                            <w:rPr>
                              <w:rStyle w:val="Hyperlink"/>
                              <w:rFonts w:ascii="Tahoma" w:hAnsi="Tahoma" w:cs="Tahoma"/>
                              <w:b/>
                              <w:bCs/>
                              <w:color w:val="4E3487"/>
                              <w:sz w:val="21"/>
                              <w:szCs w:val="21"/>
                            </w:rPr>
                            <w:t>1st January 2021</w:t>
                          </w:r>
                        </w:hyperlink>
                        <w:r>
                          <w:rPr>
                            <w:rFonts w:ascii="Tahoma" w:hAnsi="Tahoma" w:cs="Tahoma"/>
                            <w:color w:val="303030"/>
                            <w:sz w:val="21"/>
                            <w:szCs w:val="21"/>
                          </w:rPr>
                          <w:t>, pharmacies may wish to take advantage of this free training to up-skill their teams ahead of considering any cancer awareness activities as part of their ongoing health promotion activities.</w:t>
                        </w:r>
                      </w:p>
                      <w:p w14:paraId="42C51960" w14:textId="77777777" w:rsidR="00115F51" w:rsidRDefault="00115F51" w:rsidP="00115F51">
                        <w:pPr>
                          <w:rPr>
                            <w:rFonts w:ascii="Times New Roman" w:hAnsi="Times New Roman" w:cs="Times New Roman"/>
                          </w:rPr>
                        </w:pP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 about the ‘Let’s Communicate Cancer Series’</w:t>
                          </w:r>
                        </w:hyperlink>
                        <w:r>
                          <w:rPr>
                            <w:rFonts w:ascii="Tahoma" w:hAnsi="Tahoma" w:cs="Tahoma"/>
                            <w:color w:val="303030"/>
                            <w:sz w:val="21"/>
                            <w:szCs w:val="21"/>
                            <w:shd w:val="clear" w:color="auto" w:fill="FFFFFF"/>
                          </w:rPr>
                          <w:t> </w:t>
                        </w:r>
                      </w:p>
                      <w:p w14:paraId="1E6B6127" w14:textId="77777777" w:rsidR="00115F51" w:rsidRPr="00115F51" w:rsidRDefault="00115F51" w:rsidP="00115F51">
                        <w:pPr>
                          <w:pStyle w:val="Heading3"/>
                          <w:spacing w:before="0" w:after="75" w:line="297" w:lineRule="atLeast"/>
                          <w:rPr>
                            <w:rFonts w:ascii="Tahoma" w:hAnsi="Tahoma" w:cs="Tahoma"/>
                            <w:b/>
                            <w:bCs/>
                            <w:color w:val="4E3487"/>
                          </w:rPr>
                        </w:pPr>
                        <w:r>
                          <w:rPr>
                            <w:rFonts w:ascii="Tahoma" w:hAnsi="Tahoma" w:cs="Tahoma"/>
                            <w:color w:val="4E3487"/>
                          </w:rPr>
                          <w:lastRenderedPageBreak/>
                          <w:br/>
                        </w:r>
                        <w:r w:rsidRPr="00115F51">
                          <w:rPr>
                            <w:rFonts w:ascii="Tahoma" w:hAnsi="Tahoma" w:cs="Tahoma"/>
                            <w:b/>
                            <w:bCs/>
                            <w:color w:val="4E3487"/>
                            <w:sz w:val="28"/>
                            <w:szCs w:val="28"/>
                          </w:rPr>
                          <w:t>Applications to join new RPS Expert Advisory Groups now open</w:t>
                        </w:r>
                      </w:p>
                      <w:p w14:paraId="187AD084" w14:textId="77777777" w:rsidR="00115F51" w:rsidRDefault="00115F51" w:rsidP="00115F51">
                        <w:pPr>
                          <w:jc w:val="both"/>
                          <w:rPr>
                            <w:rFonts w:ascii="Tahoma" w:hAnsi="Tahoma" w:cs="Tahoma"/>
                            <w:color w:val="303030"/>
                            <w:sz w:val="21"/>
                            <w:szCs w:val="21"/>
                          </w:rPr>
                        </w:pPr>
                        <w:r>
                          <w:rPr>
                            <w:rFonts w:ascii="Tahoma" w:hAnsi="Tahoma" w:cs="Tahoma"/>
                            <w:color w:val="303030"/>
                            <w:sz w:val="21"/>
                            <w:szCs w:val="21"/>
                          </w:rPr>
                          <w:t> </w:t>
                        </w:r>
                      </w:p>
                      <w:p w14:paraId="3A9E0609" w14:textId="77777777" w:rsidR="00115F51" w:rsidRDefault="00115F51" w:rsidP="00115F51">
                        <w:pPr>
                          <w:rPr>
                            <w:rFonts w:ascii="Tahoma" w:hAnsi="Tahoma" w:cs="Tahoma"/>
                            <w:color w:val="303030"/>
                            <w:sz w:val="21"/>
                            <w:szCs w:val="21"/>
                          </w:rPr>
                        </w:pPr>
                        <w:r>
                          <w:rPr>
                            <w:rFonts w:ascii="Tahoma" w:hAnsi="Tahoma" w:cs="Tahoma"/>
                            <w:color w:val="303030"/>
                            <w:sz w:val="21"/>
                            <w:szCs w:val="21"/>
                          </w:rPr>
                          <w:t>The Royal Pharmaceutical Society (RPS) is recruiting members for three new Expert Advisory Groups, which are being set up to provide a fresh source of expertise on issues relating to the pharmacy profession.</w:t>
                        </w:r>
                        <w:r>
                          <w:rPr>
                            <w:rFonts w:ascii="Tahoma" w:hAnsi="Tahoma" w:cs="Tahoma"/>
                            <w:color w:val="303030"/>
                            <w:sz w:val="21"/>
                            <w:szCs w:val="21"/>
                          </w:rPr>
                          <w:br/>
                        </w:r>
                        <w:r>
                          <w:rPr>
                            <w:rFonts w:ascii="Tahoma" w:hAnsi="Tahoma" w:cs="Tahoma"/>
                            <w:color w:val="303030"/>
                            <w:sz w:val="21"/>
                            <w:szCs w:val="21"/>
                          </w:rPr>
                          <w:br/>
                          <w:t>The new groups will cover community pharmacy, digital pharmacy matters, and primary care pharmacy. Applications to join are now open and appointments will be announced in May.</w:t>
                        </w:r>
                        <w:r>
                          <w:rPr>
                            <w:rFonts w:ascii="Tahoma" w:hAnsi="Tahoma" w:cs="Tahoma"/>
                            <w:color w:val="303030"/>
                            <w:sz w:val="21"/>
                            <w:szCs w:val="21"/>
                          </w:rPr>
                          <w:br/>
                        </w:r>
                        <w:r>
                          <w:rPr>
                            <w:rFonts w:ascii="Tahoma" w:hAnsi="Tahoma" w:cs="Tahoma"/>
                            <w:color w:val="303030"/>
                            <w:sz w:val="21"/>
                            <w:szCs w:val="21"/>
                          </w:rPr>
                          <w:br/>
                        </w:r>
                        <w:hyperlink r:id="rId12" w:tgtFrame="_blank" w:tooltip="https://www.rpharms.com/about-us/news/details/Applications-to-join-new-RPS-Expert-Advisory-Groups-now-open" w:history="1">
                          <w:r>
                            <w:rPr>
                              <w:rStyle w:val="Hyperlink"/>
                              <w:rFonts w:ascii="Tahoma" w:hAnsi="Tahoma" w:cs="Tahoma"/>
                              <w:b/>
                              <w:bCs/>
                              <w:color w:val="4E3487"/>
                              <w:sz w:val="21"/>
                              <w:szCs w:val="21"/>
                            </w:rPr>
                            <w:t>Learn more, including how to apply to join</w:t>
                          </w:r>
                        </w:hyperlink>
                      </w:p>
                      <w:p w14:paraId="5B5A55F1" w14:textId="77777777" w:rsidR="00115F51" w:rsidRDefault="00115F51" w:rsidP="00115F51">
                        <w:pPr>
                          <w:rPr>
                            <w:rFonts w:ascii="Times New Roman" w:hAnsi="Times New Roman" w:cs="Times New Roman"/>
                          </w:rPr>
                        </w:pPr>
                        <w:r>
                          <w:rPr>
                            <w:rFonts w:ascii="Tahoma" w:hAnsi="Tahoma" w:cs="Tahoma"/>
                            <w:color w:val="303030"/>
                            <w:sz w:val="21"/>
                            <w:szCs w:val="21"/>
                            <w:shd w:val="clear" w:color="auto" w:fill="FFFFFF"/>
                          </w:rP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115F51" w14:paraId="1A64D627" w14:textId="77777777" w:rsidTr="00115F51">
                          <w:trPr>
                            <w:tblCellSpacing w:w="15" w:type="dxa"/>
                          </w:trPr>
                          <w:tc>
                            <w:tcPr>
                              <w:tcW w:w="0" w:type="auto"/>
                              <w:shd w:val="clear" w:color="auto" w:fill="4E3487"/>
                              <w:vAlign w:val="center"/>
                              <w:hideMark/>
                            </w:tcPr>
                            <w:p w14:paraId="339FF41D" w14:textId="77777777" w:rsidR="00115F51" w:rsidRDefault="00115F51" w:rsidP="00115F51">
                              <w:pPr>
                                <w:pStyle w:val="Heading3"/>
                                <w:spacing w:before="0" w:after="75" w:line="297" w:lineRule="atLeast"/>
                                <w:jc w:val="center"/>
                                <w:rPr>
                                  <w:rFonts w:ascii="Tahoma" w:hAnsi="Tahoma" w:cs="Tahoma"/>
                                  <w:color w:val="FFFFFF"/>
                                </w:rPr>
                              </w:pPr>
                              <w:r>
                                <w:rPr>
                                  <w:rFonts w:ascii="Tahoma" w:hAnsi="Tahoma" w:cs="Tahoma"/>
                                  <w:color w:val="FFFFFF"/>
                                </w:rPr>
                                <w:t>Have you seen our latest FAQs?</w:t>
                              </w:r>
                            </w:p>
                          </w:tc>
                        </w:tr>
                      </w:tbl>
                      <w:p w14:paraId="297852F0" w14:textId="77777777" w:rsidR="00115F51" w:rsidRDefault="00115F51" w:rsidP="00115F51">
                        <w:pPr>
                          <w:pStyle w:val="NormalWeb"/>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p>
                      <w:p w14:paraId="08128095" w14:textId="77777777" w:rsidR="00115F51" w:rsidRDefault="00115F51" w:rsidP="00115F51">
                        <w:pPr>
                          <w:pStyle w:val="NormalWeb"/>
                          <w:rPr>
                            <w:rFonts w:ascii="Tahoma" w:hAnsi="Tahoma" w:cs="Tahoma"/>
                            <w:color w:val="303030"/>
                            <w:sz w:val="21"/>
                            <w:szCs w:val="21"/>
                          </w:rPr>
                        </w:pPr>
                        <w:r>
                          <w:rPr>
                            <w:rStyle w:val="Strong"/>
                            <w:rFonts w:ascii="Tahoma" w:hAnsi="Tahoma" w:cs="Tahoma"/>
                            <w:color w:val="303030"/>
                            <w:sz w:val="21"/>
                            <w:szCs w:val="21"/>
                          </w:rPr>
                          <w:t>Q. Will I need to provide my wholesaler(s) with any specific information or declarations to order test kits for the NHS community pharmacy COVID-19 lateral flow device distribution (Pharmacy Collect)</w:t>
                        </w:r>
                        <w:r>
                          <w:rPr>
                            <w:rFonts w:ascii="Tahoma" w:hAnsi="Tahoma" w:cs="Tahoma"/>
                            <w:color w:val="303030"/>
                            <w:sz w:val="21"/>
                            <w:szCs w:val="21"/>
                          </w:rPr>
                          <w:t> </w:t>
                        </w:r>
                        <w:r>
                          <w:rPr>
                            <w:rStyle w:val="Strong"/>
                            <w:rFonts w:ascii="Tahoma" w:hAnsi="Tahoma" w:cs="Tahoma"/>
                            <w:color w:val="303030"/>
                            <w:sz w:val="21"/>
                            <w:szCs w:val="21"/>
                          </w:rPr>
                          <w:t>service?</w:t>
                        </w:r>
                      </w:p>
                      <w:p w14:paraId="48DB7ADE" w14:textId="77777777" w:rsidR="00115F51" w:rsidRDefault="00115F51" w:rsidP="00115F51">
                        <w:pPr>
                          <w:pStyle w:val="NormalWeb"/>
                          <w:jc w:val="both"/>
                          <w:rPr>
                            <w:rFonts w:ascii="Tahoma" w:hAnsi="Tahoma" w:cs="Tahoma"/>
                            <w:color w:val="303030"/>
                            <w:sz w:val="21"/>
                            <w:szCs w:val="21"/>
                          </w:rPr>
                        </w:pPr>
                        <w:r>
                          <w:rPr>
                            <w:rFonts w:ascii="Tahoma" w:hAnsi="Tahoma" w:cs="Tahoma"/>
                            <w:color w:val="303030"/>
                            <w:sz w:val="21"/>
                            <w:szCs w:val="21"/>
                          </w:rPr>
                          <w:t>No. The NHS Business Services Authority (NHSBSA) will provide wholesalers with a list of contractors that have signed up to provide the service.</w:t>
                        </w:r>
                      </w:p>
                      <w:p w14:paraId="27056CF8" w14:textId="77777777" w:rsidR="00115F51" w:rsidRDefault="00115F51" w:rsidP="00115F51">
                        <w:pPr>
                          <w:pStyle w:val="NormalWeb"/>
                          <w:jc w:val="both"/>
                          <w:rPr>
                            <w:rFonts w:ascii="Tahoma" w:hAnsi="Tahoma" w:cs="Tahoma"/>
                            <w:color w:val="303030"/>
                            <w:sz w:val="21"/>
                            <w:szCs w:val="21"/>
                          </w:rPr>
                        </w:pPr>
                        <w:r>
                          <w:rPr>
                            <w:rStyle w:val="Strong"/>
                            <w:rFonts w:ascii="Tahoma" w:hAnsi="Tahoma" w:cs="Tahoma"/>
                            <w:color w:val="303030"/>
                            <w:sz w:val="21"/>
                            <w:szCs w:val="21"/>
                          </w:rPr>
                          <w:t> Q. I have asked a person who wants to collect a lateral flow device test kit why they need the tests, and their reason is not listed in the service specification (</w:t>
                        </w:r>
                        <w:proofErr w:type="gramStart"/>
                        <w:r>
                          <w:rPr>
                            <w:rStyle w:val="Strong"/>
                            <w:rFonts w:ascii="Tahoma" w:hAnsi="Tahoma" w:cs="Tahoma"/>
                            <w:color w:val="303030"/>
                            <w:sz w:val="21"/>
                            <w:szCs w:val="21"/>
                          </w:rPr>
                          <w:t>i.e.</w:t>
                        </w:r>
                        <w:proofErr w:type="gramEnd"/>
                        <w:r>
                          <w:rPr>
                            <w:rStyle w:val="Strong"/>
                            <w:rFonts w:ascii="Tahoma" w:hAnsi="Tahoma" w:cs="Tahoma"/>
                            <w:color w:val="303030"/>
                            <w:sz w:val="21"/>
                            <w:szCs w:val="21"/>
                          </w:rPr>
                          <w:t xml:space="preserve"> school-related, leave the house for work, the local council advised them to test or GP/healthcare professional advised them to test). Can I still provide the tests?</w:t>
                        </w:r>
                        <w:r>
                          <w:rPr>
                            <w:rFonts w:ascii="Tahoma" w:hAnsi="Tahoma" w:cs="Tahoma"/>
                            <w:color w:val="303030"/>
                            <w:sz w:val="21"/>
                            <w:szCs w:val="21"/>
                          </w:rPr>
                          <w:br/>
                        </w:r>
                        <w:r>
                          <w:rPr>
                            <w:rFonts w:ascii="Tahoma" w:hAnsi="Tahoma" w:cs="Tahoma"/>
                            <w:color w:val="303030"/>
                            <w:sz w:val="21"/>
                            <w:szCs w:val="21"/>
                          </w:rPr>
                          <w:br/>
                          <w:t>Yes. Everyone in England is to be given access to two free coronavirus tests a week. If their reason is not one of the four listed in the service specification, pharmacy staff should select ‘Other’ and record the reason why the person is requesting the supply.</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7E5CDA"/>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411B0"/>
    <w:multiLevelType w:val="multilevel"/>
    <w:tmpl w:val="A3C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6"/>
  </w:num>
  <w:num w:numId="16">
    <w:abstractNumId w:val="20"/>
  </w:num>
  <w:num w:numId="17">
    <w:abstractNumId w:val="21"/>
  </w:num>
  <w:num w:numId="18">
    <w:abstractNumId w:val="1"/>
  </w:num>
  <w:num w:numId="19">
    <w:abstractNumId w:val="9"/>
  </w:num>
  <w:num w:numId="20">
    <w:abstractNumId w:val="27"/>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15F51"/>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E5CDA"/>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6751"/>
    <w:rsid w:val="00DE7311"/>
    <w:rsid w:val="00DF35E2"/>
    <w:rsid w:val="00E03F84"/>
    <w:rsid w:val="00E47CE3"/>
    <w:rsid w:val="00E609D4"/>
    <w:rsid w:val="00E67361"/>
    <w:rsid w:val="00E700E7"/>
    <w:rsid w:val="00EF6768"/>
    <w:rsid w:val="00F01C6F"/>
    <w:rsid w:val="00F03D21"/>
    <w:rsid w:val="00F2724A"/>
    <w:rsid w:val="00F735AC"/>
    <w:rsid w:val="00F75E23"/>
    <w:rsid w:val="00F81B97"/>
    <w:rsid w:val="00F830F0"/>
    <w:rsid w:val="00F85B32"/>
    <w:rsid w:val="00FB0C99"/>
    <w:rsid w:val="00FD5231"/>
    <w:rsid w:val="00FE1DA3"/>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04382849">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346913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4791184">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de1afd2ddf&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59dcd333ab&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b0447391b8&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38c943bbf&amp;e=12757307a1"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3098</Words>
  <Characters>17665</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2021-04-10T11:32:00Z</dcterms:created>
  <dcterms:modified xsi:type="dcterms:W3CDTF">2021-04-10T11:32:00Z</dcterms:modified>
</cp:coreProperties>
</file>