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w:instrText>
                        </w:r>
                        <w:r w:rsidR="00B33D71">
                          <w:rPr>
                            <w:noProof/>
                          </w:rPr>
                          <w:instrText>INCLUDEPICTURE  "/var/folders/zq/_hgbfm5j5m929n</w:instrText>
                        </w:r>
                        <w:r w:rsidR="00B33D71">
                          <w:rPr>
                            <w:noProof/>
                          </w:rPr>
                          <w:instrText>sq7yq0snt00000gn/T/com.microsoft.Word/WebArchiveCopyPasteTempFiles/001d399a-96a4-4e1f-b905-a21d530b5d29.jpg" \* MERGEFORMATINET</w:instrText>
                        </w:r>
                        <w:r w:rsidR="00B33D71">
                          <w:rPr>
                            <w:noProof/>
                          </w:rPr>
                          <w:instrText xml:space="preserve"> </w:instrText>
                        </w:r>
                        <w:r w:rsidR="00B33D71">
                          <w:rPr>
                            <w:noProof/>
                          </w:rPr>
                          <w:fldChar w:fldCharType="separate"/>
                        </w:r>
                        <w:r w:rsidR="00B33D71">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2A8F2E4C" w:rsidR="002F42A7" w:rsidRPr="00DE6A3B" w:rsidRDefault="0070181A"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w:t>
                        </w:r>
                        <w:r w:rsidR="00071CFB">
                          <w:rPr>
                            <w:rFonts w:ascii="Tahoma" w:hAnsi="Tahoma" w:cs="Tahoma"/>
                            <w:color w:val="93378A"/>
                            <w:sz w:val="30"/>
                            <w:szCs w:val="30"/>
                          </w:rPr>
                          <w:t>r</w:t>
                        </w:r>
                        <w:r>
                          <w:rPr>
                            <w:rFonts w:ascii="Tahoma" w:hAnsi="Tahoma" w:cs="Tahoma"/>
                            <w:color w:val="93378A"/>
                            <w:sz w:val="30"/>
                            <w:szCs w:val="30"/>
                          </w:rPr>
                          <w:t>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326D98">
                          <w:rPr>
                            <w:rFonts w:ascii="Tahoma" w:hAnsi="Tahoma" w:cs="Tahoma"/>
                            <w:color w:val="93378A"/>
                            <w:sz w:val="30"/>
                            <w:szCs w:val="30"/>
                          </w:rPr>
                          <w:t>1</w:t>
                        </w:r>
                        <w:r>
                          <w:rPr>
                            <w:rFonts w:ascii="Tahoma" w:hAnsi="Tahoma" w:cs="Tahoma"/>
                            <w:color w:val="93378A"/>
                            <w:sz w:val="30"/>
                            <w:szCs w:val="30"/>
                          </w:rPr>
                          <w:t>6</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w:instrText>
                  </w:r>
                  <w:r w:rsidR="00B33D71">
                    <w:rPr>
                      <w:rFonts w:ascii="Helvetica" w:hAnsi="Helvetica"/>
                      <w:noProof/>
                      <w:color w:val="000000"/>
                      <w:sz w:val="18"/>
                      <w:szCs w:val="18"/>
                    </w:rPr>
                    <w:instrText>INCLUDEPICTURE  "/var/folders/zq/_hgbfm5j5m929nsq7yq0snt00000gn/T/com.microsoft.Word/WebArchiveCopyPasteTempFiles/Newsletter-style-bar.png" \* MERGEFORMATINET</w:instrText>
                  </w:r>
                  <w:r w:rsidR="00B33D71">
                    <w:rPr>
                      <w:rFonts w:ascii="Helvetica" w:hAnsi="Helvetica"/>
                      <w:noProof/>
                      <w:color w:val="000000"/>
                      <w:sz w:val="18"/>
                      <w:szCs w:val="18"/>
                    </w:rPr>
                    <w:instrText xml:space="preserve"> </w:instrText>
                  </w:r>
                  <w:r w:rsidR="00B33D71">
                    <w:rPr>
                      <w:rFonts w:ascii="Helvetica" w:hAnsi="Helvetica"/>
                      <w:noProof/>
                      <w:color w:val="000000"/>
                      <w:sz w:val="18"/>
                      <w:szCs w:val="18"/>
                    </w:rPr>
                    <w:fldChar w:fldCharType="separate"/>
                  </w:r>
                  <w:r w:rsidR="00B33D71">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B33D71"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071CFB" w14:paraId="76D49C8D" w14:textId="77777777" w:rsidTr="00071CFB">
                          <w:trPr>
                            <w:tblCellSpacing w:w="15" w:type="dxa"/>
                            <w:jc w:val="center"/>
                          </w:trPr>
                          <w:tc>
                            <w:tcPr>
                              <w:tcW w:w="8700" w:type="dxa"/>
                              <w:vAlign w:val="center"/>
                              <w:hideMark/>
                            </w:tcPr>
                            <w:p w14:paraId="241100DA" w14:textId="77777777" w:rsidR="0070181A" w:rsidRDefault="0070181A" w:rsidP="0070181A">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PSNC CEO's April video message; early sign-up fee deadline for C-19 test distribution service; collaborative working between pharmacy group and gym.</w:t>
                              </w:r>
                            </w:p>
                            <w:p w14:paraId="3B5A61AB" w14:textId="77777777" w:rsidR="0070181A" w:rsidRPr="0070181A" w:rsidRDefault="0070181A" w:rsidP="0070181A">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70181A">
                                <w:rPr>
                                  <w:rFonts w:ascii="Tahoma" w:hAnsi="Tahoma" w:cs="Tahoma"/>
                                  <w:b/>
                                  <w:bCs/>
                                  <w:color w:val="4E3487"/>
                                  <w:sz w:val="28"/>
                                  <w:szCs w:val="28"/>
                                </w:rPr>
                                <w:t>PSNC CEO's April video message</w:t>
                              </w:r>
                            </w:p>
                            <w:p w14:paraId="1561B8FC" w14:textId="77777777" w:rsidR="0070181A" w:rsidRDefault="0070181A" w:rsidP="0070181A">
                              <w:pPr>
                                <w:jc w:val="both"/>
                                <w:rPr>
                                  <w:rFonts w:ascii="Tahoma" w:hAnsi="Tahoma" w:cs="Tahoma"/>
                                  <w:color w:val="303030"/>
                                  <w:sz w:val="21"/>
                                  <w:szCs w:val="21"/>
                                </w:rPr>
                              </w:pPr>
                              <w:r>
                                <w:rPr>
                                  <w:rFonts w:ascii="Tahoma" w:hAnsi="Tahoma" w:cs="Tahoma"/>
                                  <w:color w:val="303030"/>
                                  <w:sz w:val="21"/>
                                  <w:szCs w:val="21"/>
                                </w:rPr>
                                <w:br/>
                                <w:t>In his latest video message to the sector, PSNC Chief Executive Simon Dukes praises how community pharmacy teams have stepped up to provide the new NHS community pharmacy C-19 lateral flow device distribution service (Pharmacy Collect); citing this service as further evidence of how pharmacies have embraced the chance to support the pandemic response.</w:t>
                              </w:r>
                            </w:p>
                            <w:p w14:paraId="6102698C" w14:textId="77777777" w:rsidR="0070181A" w:rsidRDefault="0070181A" w:rsidP="0070181A">
                              <w:pPr>
                                <w:jc w:val="both"/>
                                <w:rPr>
                                  <w:rFonts w:ascii="Tahoma" w:hAnsi="Tahoma" w:cs="Tahoma"/>
                                  <w:color w:val="303030"/>
                                  <w:sz w:val="21"/>
                                  <w:szCs w:val="21"/>
                                </w:rPr>
                              </w:pPr>
                              <w:r>
                                <w:rPr>
                                  <w:rFonts w:ascii="Tahoma" w:hAnsi="Tahoma" w:cs="Tahoma"/>
                                  <w:color w:val="303030"/>
                                  <w:sz w:val="21"/>
                                  <w:szCs w:val="21"/>
                                </w:rPr>
                                <w:br/>
                                <w:t>Simon also reiterates PSNC’s call for the Government and NHS to cover the costs that community pharmacies have incurred during the C-19 pandemic and the need for fair funding for their future role.</w:t>
                              </w:r>
                            </w:p>
                            <w:p w14:paraId="3497FD12" w14:textId="77777777" w:rsidR="0070181A" w:rsidRDefault="0070181A" w:rsidP="0070181A">
                              <w:pPr>
                                <w:rPr>
                                  <w:rFonts w:ascii="Times New Roman" w:hAnsi="Times New Roman" w:cs="Times New Roman"/>
                                </w:rPr>
                              </w:pP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Watch Simon's video message here</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45D473E1" w14:textId="77777777" w:rsidR="0070181A" w:rsidRPr="0070181A" w:rsidRDefault="0070181A" w:rsidP="0070181A">
                              <w:pPr>
                                <w:pStyle w:val="Heading3"/>
                                <w:spacing w:before="0" w:after="75" w:line="297" w:lineRule="atLeast"/>
                                <w:rPr>
                                  <w:rFonts w:ascii="Tahoma" w:hAnsi="Tahoma" w:cs="Tahoma"/>
                                  <w:b/>
                                  <w:bCs/>
                                  <w:color w:val="4E3487"/>
                                  <w:sz w:val="28"/>
                                  <w:szCs w:val="28"/>
                                </w:rPr>
                              </w:pPr>
                              <w:r w:rsidRPr="0070181A">
                                <w:rPr>
                                  <w:rFonts w:ascii="Tahoma" w:hAnsi="Tahoma" w:cs="Tahoma"/>
                                  <w:b/>
                                  <w:bCs/>
                                  <w:color w:val="4E3487"/>
                                  <w:sz w:val="28"/>
                                  <w:szCs w:val="28"/>
                                </w:rPr>
                                <w:t>Early sign-up fee deadline for C-19 test distribution service approaches</w:t>
                              </w:r>
                            </w:p>
                            <w:p w14:paraId="026E5E80" w14:textId="77777777" w:rsidR="0070181A" w:rsidRDefault="0070181A" w:rsidP="0070181A">
                              <w:pPr>
                                <w:jc w:val="both"/>
                                <w:rPr>
                                  <w:rFonts w:ascii="Tahoma" w:hAnsi="Tahoma" w:cs="Tahoma"/>
                                  <w:color w:val="303030"/>
                                  <w:sz w:val="21"/>
                                  <w:szCs w:val="21"/>
                                </w:rPr>
                              </w:pPr>
                              <w:r>
                                <w:rPr>
                                  <w:rFonts w:ascii="Tahoma" w:hAnsi="Tahoma" w:cs="Tahoma"/>
                                  <w:color w:val="303030"/>
                                  <w:sz w:val="21"/>
                                  <w:szCs w:val="21"/>
                                </w:rPr>
                                <w:br/>
                                <w:t>Community pharmacy contractors who have not yet signed up to the C-19 test distribution service, but intend to do so, should be aware that there is an early sign-up fee (of £200 + VAT) for those who sign up to provide the service </w:t>
                              </w:r>
                              <w:r>
                                <w:rPr>
                                  <w:rStyle w:val="Strong"/>
                                  <w:rFonts w:ascii="Tahoma" w:hAnsi="Tahoma" w:cs="Tahoma"/>
                                  <w:color w:val="303030"/>
                                  <w:sz w:val="21"/>
                                  <w:szCs w:val="21"/>
                                </w:rPr>
                                <w:t>by Sunday 18th April 2021</w:t>
                              </w:r>
                              <w:r>
                                <w:rPr>
                                  <w:rFonts w:ascii="Tahoma" w:hAnsi="Tahoma" w:cs="Tahoma"/>
                                  <w:color w:val="303030"/>
                                  <w:sz w:val="21"/>
                                  <w:szCs w:val="21"/>
                                </w:rPr>
                                <w:t>. This is in addition to the one-off set up fee of £250 + VAT.</w:t>
                              </w:r>
                            </w:p>
                            <w:p w14:paraId="5F2C0D38" w14:textId="77777777" w:rsidR="0070181A" w:rsidRDefault="0070181A" w:rsidP="0070181A">
                              <w:pPr>
                                <w:jc w:val="both"/>
                                <w:rPr>
                                  <w:rFonts w:ascii="Tahoma" w:hAnsi="Tahoma" w:cs="Tahoma"/>
                                  <w:color w:val="303030"/>
                                  <w:sz w:val="21"/>
                                  <w:szCs w:val="21"/>
                                </w:rPr>
                              </w:pPr>
                              <w:r>
                                <w:rPr>
                                  <w:rFonts w:ascii="Tahoma" w:hAnsi="Tahoma" w:cs="Tahoma"/>
                                  <w:color w:val="303030"/>
                                  <w:sz w:val="21"/>
                                  <w:szCs w:val="21"/>
                                </w:rPr>
                                <w:br/>
                                <w:t>PSNC has published a number of resources to support contractors with the implementation and delivery of this service. These resources can be accessed on our </w:t>
                              </w:r>
                              <w:hyperlink r:id="rId10" w:history="1">
                                <w:r>
                                  <w:rPr>
                                    <w:rStyle w:val="Hyperlink"/>
                                    <w:rFonts w:ascii="Tahoma" w:hAnsi="Tahoma" w:cs="Tahoma"/>
                                    <w:b/>
                                    <w:bCs/>
                                    <w:color w:val="4E3487"/>
                                    <w:sz w:val="21"/>
                                    <w:szCs w:val="21"/>
                                  </w:rPr>
                                  <w:t>C-19 lateral flow device distribution service webpage</w:t>
                                </w:r>
                              </w:hyperlink>
                              <w:r>
                                <w:rPr>
                                  <w:rFonts w:ascii="Tahoma" w:hAnsi="Tahoma" w:cs="Tahoma"/>
                                  <w:color w:val="303030"/>
                                  <w:sz w:val="21"/>
                                  <w:szCs w:val="21"/>
                                </w:rPr>
                                <w:t>.</w:t>
                              </w:r>
                            </w:p>
                            <w:p w14:paraId="38040A71" w14:textId="77777777" w:rsidR="0070181A" w:rsidRDefault="0070181A" w:rsidP="0070181A">
                              <w:pPr>
                                <w:spacing w:before="120" w:after="120"/>
                                <w:rPr>
                                  <w:rFonts w:ascii="Times New Roman" w:hAnsi="Times New Roman" w:cs="Times New Roman"/>
                                </w:rPr>
                              </w:pPr>
                              <w:r>
                                <w:rPr>
                                  <w:rFonts w:ascii="Tahoma" w:hAnsi="Tahoma" w:cs="Tahoma"/>
                                  <w:color w:val="303030"/>
                                  <w:sz w:val="21"/>
                                  <w:szCs w:val="21"/>
                                  <w:shd w:val="clear" w:color="auto" w:fill="FFFFFF"/>
                                </w:rPr>
                                <w:t> </w:t>
                              </w:r>
                            </w:p>
                            <w:p w14:paraId="0E116D84" w14:textId="77777777" w:rsidR="0070181A" w:rsidRPr="0070181A" w:rsidRDefault="0070181A" w:rsidP="0070181A">
                              <w:pPr>
                                <w:pStyle w:val="Heading3"/>
                                <w:spacing w:before="0" w:after="75" w:line="297" w:lineRule="atLeast"/>
                                <w:rPr>
                                  <w:rFonts w:ascii="Tahoma" w:hAnsi="Tahoma" w:cs="Tahoma"/>
                                  <w:b/>
                                  <w:bCs/>
                                  <w:color w:val="4E3487"/>
                                  <w:sz w:val="28"/>
                                  <w:szCs w:val="28"/>
                                </w:rPr>
                              </w:pPr>
                              <w:r w:rsidRPr="0070181A">
                                <w:rPr>
                                  <w:rFonts w:ascii="Tahoma" w:hAnsi="Tahoma" w:cs="Tahoma"/>
                                  <w:b/>
                                  <w:bCs/>
                                  <w:color w:val="4E3487"/>
                                  <w:sz w:val="28"/>
                                  <w:szCs w:val="28"/>
                                </w:rPr>
                                <w:t xml:space="preserve">COVID-19 vacs: collaborative working between Crest Pharmacy Group and </w:t>
                              </w:r>
                              <w:proofErr w:type="spellStart"/>
                              <w:r w:rsidRPr="0070181A">
                                <w:rPr>
                                  <w:rFonts w:ascii="Tahoma" w:hAnsi="Tahoma" w:cs="Tahoma"/>
                                  <w:b/>
                                  <w:bCs/>
                                  <w:color w:val="4E3487"/>
                                  <w:sz w:val="28"/>
                                  <w:szCs w:val="28"/>
                                </w:rPr>
                                <w:t>PureGym</w:t>
                              </w:r>
                              <w:proofErr w:type="spellEnd"/>
                            </w:p>
                            <w:p w14:paraId="793C63E9" w14:textId="77777777" w:rsidR="0070181A" w:rsidRDefault="0070181A" w:rsidP="0070181A">
                              <w:pPr>
                                <w:rPr>
                                  <w:rFonts w:ascii="Tahoma" w:hAnsi="Tahoma" w:cs="Tahoma"/>
                                  <w:color w:val="303030"/>
                                  <w:sz w:val="21"/>
                                  <w:szCs w:val="21"/>
                                  <w:shd w:val="clear" w:color="auto" w:fill="FFFFFF"/>
                                </w:rPr>
                              </w:pPr>
                              <w:r>
                                <w:rPr>
                                  <w:rFonts w:ascii="Tahoma" w:hAnsi="Tahoma" w:cs="Tahoma"/>
                                  <w:color w:val="303030"/>
                                  <w:sz w:val="21"/>
                                  <w:szCs w:val="21"/>
                                </w:rPr>
                                <w:br/>
                              </w:r>
                              <w:r>
                                <w:rPr>
                                  <w:rFonts w:ascii="Tahoma" w:hAnsi="Tahoma" w:cs="Tahoma"/>
                                  <w:color w:val="303030"/>
                                  <w:sz w:val="21"/>
                                  <w:szCs w:val="21"/>
                                  <w:shd w:val="clear" w:color="auto" w:fill="FFFFFF"/>
                                </w:rPr>
                                <w:t xml:space="preserve">Whilst only small numbers of community pharmacy-led vaccination sites have been able to open so far, from them we are hearing incredible stories about how local stakeholders have collaborated to support the COVID-19 vaccination programme, including that of Crest Pharmacy Group and </w:t>
                              </w:r>
                              <w:proofErr w:type="spellStart"/>
                              <w:r>
                                <w:rPr>
                                  <w:rFonts w:ascii="Tahoma" w:hAnsi="Tahoma" w:cs="Tahoma"/>
                                  <w:color w:val="303030"/>
                                  <w:sz w:val="21"/>
                                  <w:szCs w:val="21"/>
                                  <w:shd w:val="clear" w:color="auto" w:fill="FFFFFF"/>
                                </w:rPr>
                                <w:t>PureGym</w:t>
                              </w:r>
                              <w:proofErr w:type="spellEnd"/>
                              <w:r>
                                <w:rPr>
                                  <w:rFonts w:ascii="Tahoma" w:hAnsi="Tahoma" w:cs="Tahoma"/>
                                  <w:color w:val="303030"/>
                                  <w:sz w:val="21"/>
                                  <w:szCs w:val="21"/>
                                  <w:shd w:val="clear" w:color="auto" w:fill="FFFFFF"/>
                                </w:rPr>
                                <w:t>.</w:t>
                              </w:r>
                            </w:p>
                            <w:p w14:paraId="4DA319F9" w14:textId="51EFD7F3" w:rsidR="0070181A" w:rsidRDefault="0070181A" w:rsidP="0070181A">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lastRenderedPageBreak/>
                                <w:t>After taking up the national gym chain's offer to use their venues as C-19 vaccination sites, Crest Pharmacy has administered more than 4,000 vaccinations at an accessible and spacious town centre venue.  </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 xml:space="preserve">Read more about the collaboration between Crest Pharmacy Group and </w:t>
                                </w:r>
                                <w:proofErr w:type="spellStart"/>
                                <w:r>
                                  <w:rPr>
                                    <w:rStyle w:val="Hyperlink"/>
                                    <w:rFonts w:ascii="Tahoma" w:hAnsi="Tahoma" w:cs="Tahoma"/>
                                    <w:b/>
                                    <w:bCs/>
                                    <w:color w:val="4E3487"/>
                                    <w:sz w:val="21"/>
                                    <w:szCs w:val="21"/>
                                  </w:rPr>
                                  <w:t>PureGym</w:t>
                                </w:r>
                                <w:proofErr w:type="spellEnd"/>
                              </w:hyperlink>
                              <w:r>
                                <w:rPr>
                                  <w:rFonts w:ascii="Tahoma" w:hAnsi="Tahoma" w:cs="Tahoma"/>
                                  <w:color w:val="303030"/>
                                  <w:sz w:val="21"/>
                                  <w:szCs w:val="21"/>
                                </w:rPr>
                                <w:br/>
                              </w:r>
                              <w:r>
                                <w:rPr>
                                  <w:rFonts w:ascii="Tahoma" w:hAnsi="Tahoma" w:cs="Tahoma"/>
                                  <w:color w:val="303030"/>
                                  <w:sz w:val="21"/>
                                  <w:szCs w:val="21"/>
                                  <w:shd w:val="clear" w:color="auto" w:fill="FFFFFF"/>
                                </w:rPr>
                                <w:t> </w:t>
                              </w:r>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940"/>
                              </w:tblGrid>
                              <w:tr w:rsidR="0070181A" w14:paraId="75616926" w14:textId="77777777" w:rsidTr="0070181A">
                                <w:trPr>
                                  <w:tblCellSpacing w:w="15" w:type="dxa"/>
                                </w:trPr>
                                <w:tc>
                                  <w:tcPr>
                                    <w:tcW w:w="0" w:type="auto"/>
                                    <w:shd w:val="clear" w:color="auto" w:fill="4E3487"/>
                                    <w:vAlign w:val="center"/>
                                    <w:hideMark/>
                                  </w:tcPr>
                                  <w:p w14:paraId="05284811" w14:textId="77777777" w:rsidR="0070181A" w:rsidRDefault="0070181A" w:rsidP="0070181A">
                                    <w:pPr>
                                      <w:pStyle w:val="Heading3"/>
                                      <w:spacing w:before="0" w:after="75" w:line="297" w:lineRule="atLeast"/>
                                      <w:jc w:val="center"/>
                                      <w:rPr>
                                        <w:rFonts w:ascii="Tahoma" w:hAnsi="Tahoma" w:cs="Tahoma"/>
                                        <w:color w:val="FFFFFF"/>
                                      </w:rPr>
                                    </w:pPr>
                                    <w:r>
                                      <w:rPr>
                                        <w:rFonts w:ascii="Tahoma" w:hAnsi="Tahoma" w:cs="Tahoma"/>
                                        <w:color w:val="FFFFFF"/>
                                      </w:rPr>
                                      <w:t>Have you seen our latest FAQs?</w:t>
                                    </w:r>
                                  </w:p>
                                </w:tc>
                              </w:tr>
                            </w:tbl>
                            <w:p w14:paraId="350BC0C1" w14:textId="77777777" w:rsidR="0070181A" w:rsidRDefault="0070181A" w:rsidP="0070181A">
                              <w:pPr>
                                <w:pStyle w:val="NormalWeb"/>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on</w:t>
                              </w:r>
                              <w:r>
                                <w:rPr>
                                  <w:rStyle w:val="Strong"/>
                                  <w:rFonts w:ascii="Tahoma" w:hAnsi="Tahoma" w:cs="Tahoma"/>
                                  <w:color w:val="303030"/>
                                  <w:sz w:val="21"/>
                                  <w:szCs w:val="21"/>
                                </w:rPr>
                                <w:t> the NHS community pharmacy COVID-19 lateral flow device distribution service </w:t>
                              </w:r>
                              <w:r>
                                <w:rPr>
                                  <w:rFonts w:ascii="Tahoma" w:hAnsi="Tahoma" w:cs="Tahoma"/>
                                  <w:color w:val="303030"/>
                                  <w:sz w:val="21"/>
                                  <w:szCs w:val="21"/>
                                </w:rPr>
                                <w:t>include:</w:t>
                              </w:r>
                            </w:p>
                            <w:p w14:paraId="1EEE7FF6" w14:textId="77777777" w:rsidR="0070181A" w:rsidRDefault="0070181A" w:rsidP="0070181A">
                              <w:pPr>
                                <w:pStyle w:val="NormalWeb"/>
                                <w:jc w:val="both"/>
                                <w:rPr>
                                  <w:rFonts w:ascii="Tahoma" w:hAnsi="Tahoma" w:cs="Tahoma"/>
                                  <w:color w:val="303030"/>
                                  <w:sz w:val="21"/>
                                  <w:szCs w:val="21"/>
                                </w:rPr>
                              </w:pPr>
                              <w:r>
                                <w:rPr>
                                  <w:rStyle w:val="Strong"/>
                                  <w:rFonts w:ascii="Tahoma" w:hAnsi="Tahoma" w:cs="Tahoma"/>
                                  <w:color w:val="303030"/>
                                  <w:sz w:val="21"/>
                                  <w:szCs w:val="21"/>
                                </w:rPr>
                                <w:t>Q. Are the key points of advice required to be provided to a person each time that they collect test kits?</w:t>
                              </w:r>
                            </w:p>
                            <w:p w14:paraId="3EAFBDA9" w14:textId="77777777" w:rsidR="0070181A" w:rsidRDefault="0070181A" w:rsidP="0070181A">
                              <w:pPr>
                                <w:pStyle w:val="NormalWeb"/>
                                <w:jc w:val="both"/>
                                <w:rPr>
                                  <w:rFonts w:ascii="Tahoma" w:hAnsi="Tahoma" w:cs="Tahoma"/>
                                  <w:color w:val="303030"/>
                                  <w:sz w:val="21"/>
                                  <w:szCs w:val="21"/>
                                </w:rPr>
                              </w:pPr>
                              <w:r>
                                <w:rPr>
                                  <w:rFonts w:ascii="Tahoma" w:hAnsi="Tahoma" w:cs="Tahoma"/>
                                  <w:color w:val="303030"/>
                                  <w:sz w:val="21"/>
                                  <w:szCs w:val="21"/>
                                </w:rPr>
                                <w:t>The key points of advice must be provided to a person collecting test kits when they indicate that this is their first collection. On subsequent collections, pharmacy teams can exercise their discretion to decide whether all points need to be covered, for example, having determined whether the person had any problems using the tests or any outstanding questions. It is, however, important to remind people of the importance of reporting their results, whether positive or negative.</w:t>
                              </w:r>
                            </w:p>
                            <w:p w14:paraId="770BC632" w14:textId="77777777" w:rsidR="0070181A" w:rsidRDefault="0070181A" w:rsidP="0070181A">
                              <w:pPr>
                                <w:pStyle w:val="NormalWeb"/>
                                <w:jc w:val="both"/>
                                <w:rPr>
                                  <w:rFonts w:ascii="Tahoma" w:hAnsi="Tahoma" w:cs="Tahoma"/>
                                  <w:color w:val="303030"/>
                                  <w:sz w:val="21"/>
                                  <w:szCs w:val="21"/>
                                </w:rPr>
                              </w:pPr>
                              <w:r>
                                <w:rPr>
                                  <w:rStyle w:val="Strong"/>
                                  <w:rFonts w:ascii="Tahoma" w:hAnsi="Tahoma" w:cs="Tahoma"/>
                                  <w:color w:val="303030"/>
                                  <w:sz w:val="21"/>
                                  <w:szCs w:val="21"/>
                                </w:rPr>
                                <w:t>Q. If the person requesting test kits does not answer the questions specified in the service specification, can they still be provided with the test kits?</w:t>
                              </w:r>
                              <w:r>
                                <w:rPr>
                                  <w:rFonts w:ascii="Tahoma" w:hAnsi="Tahoma" w:cs="Tahoma"/>
                                  <w:color w:val="303030"/>
                                  <w:sz w:val="21"/>
                                  <w:szCs w:val="21"/>
                                </w:rPr>
                                <w:br/>
                              </w:r>
                              <w:r>
                                <w:rPr>
                                  <w:rFonts w:ascii="Tahoma" w:hAnsi="Tahoma" w:cs="Tahoma"/>
                                  <w:color w:val="303030"/>
                                  <w:sz w:val="21"/>
                                  <w:szCs w:val="21"/>
                                </w:rPr>
                                <w:br/>
                                <w:t>No.</w:t>
                              </w:r>
                            </w:p>
                            <w:p w14:paraId="19BF6926" w14:textId="77777777" w:rsidR="0070181A" w:rsidRDefault="0070181A" w:rsidP="0070181A">
                              <w:pPr>
                                <w:pStyle w:val="NormalWeb"/>
                                <w:jc w:val="both"/>
                                <w:rPr>
                                  <w:rFonts w:ascii="Tahoma" w:hAnsi="Tahoma" w:cs="Tahoma"/>
                                  <w:color w:val="303030"/>
                                  <w:sz w:val="21"/>
                                  <w:szCs w:val="21"/>
                                </w:rPr>
                              </w:pPr>
                              <w:r>
                                <w:rPr>
                                  <w:rStyle w:val="Strong"/>
                                  <w:rFonts w:ascii="Tahoma" w:hAnsi="Tahoma" w:cs="Tahoma"/>
                                  <w:color w:val="303030"/>
                                  <w:sz w:val="21"/>
                                  <w:szCs w:val="21"/>
                                </w:rPr>
                                <w:t>Q. If the family, household, or school bubble is larger than four people, can more than four boxes be provided in a single transaction?</w:t>
                              </w:r>
                            </w:p>
                            <w:p w14:paraId="2D7EDC42" w14:textId="0F3C50B8" w:rsidR="00071CFB" w:rsidRDefault="0070181A" w:rsidP="0070181A">
                              <w:pPr>
                                <w:pStyle w:val="NormalWeb"/>
                                <w:jc w:val="both"/>
                                <w:rPr>
                                  <w:rFonts w:ascii="Tahoma" w:hAnsi="Tahoma" w:cs="Tahoma"/>
                                  <w:color w:val="303030"/>
                                  <w:sz w:val="21"/>
                                  <w:szCs w:val="21"/>
                                </w:rPr>
                              </w:pPr>
                              <w:r>
                                <w:rPr>
                                  <w:rFonts w:ascii="Tahoma" w:hAnsi="Tahoma" w:cs="Tahoma"/>
                                  <w:color w:val="303030"/>
                                  <w:sz w:val="21"/>
                                  <w:szCs w:val="21"/>
                                </w:rPr>
                                <w:t>No. The maximum number of boxes that can be provided in a single transaction is four. Where the family, household, or school bubble is larger than four people, further supplies would need to be made as a separate transaction and at the discretion of the pharmacist.</w:t>
                              </w:r>
                              <w:r>
                                <w:rPr>
                                  <w:rFonts w:ascii="Tahoma" w:hAnsi="Tahoma" w:cs="Tahoma"/>
                                  <w:color w:val="303030"/>
                                  <w:sz w:val="21"/>
                                  <w:szCs w:val="21"/>
                                </w:rPr>
                                <w:br/>
                              </w:r>
                              <w:r>
                                <w:rPr>
                                  <w:rFonts w:ascii="Tahoma" w:hAnsi="Tahoma" w:cs="Tahoma"/>
                                  <w:color w:val="303030"/>
                                  <w:sz w:val="21"/>
                                  <w:szCs w:val="21"/>
                                </w:rPr>
                                <w:br/>
                                <w:t>Further information can be found on</w:t>
                              </w:r>
                              <w:r>
                                <w:rPr>
                                  <w:rStyle w:val="apple-converted-space"/>
                                  <w:rFonts w:ascii="Tahoma" w:eastAsiaTheme="majorEastAsia" w:hAnsi="Tahoma" w:cs="Tahoma"/>
                                  <w:color w:val="303030"/>
                                  <w:sz w:val="21"/>
                                  <w:szCs w:val="21"/>
                                </w:rPr>
                                <w:t> </w:t>
                              </w:r>
                              <w:r>
                                <w:rPr>
                                  <w:rStyle w:val="Strong"/>
                                  <w:rFonts w:ascii="Tahoma" w:hAnsi="Tahoma" w:cs="Tahoma"/>
                                  <w:color w:val="303030"/>
                                  <w:sz w:val="21"/>
                                  <w:szCs w:val="21"/>
                                </w:rPr>
                                <w:t>PSNC's</w:t>
                              </w:r>
                              <w:r>
                                <w:rPr>
                                  <w:rStyle w:val="apple-converted-space"/>
                                  <w:rFonts w:ascii="Tahoma" w:eastAsiaTheme="majorEastAsia" w:hAnsi="Tahoma" w:cs="Tahoma"/>
                                  <w:b/>
                                  <w:bCs/>
                                  <w:color w:val="303030"/>
                                  <w:sz w:val="21"/>
                                  <w:szCs w:val="21"/>
                                </w:rPr>
                                <w:t> </w:t>
                              </w:r>
                              <w:hyperlink r:id="rId12" w:tgtFrame="_blank" w:history="1">
                                <w:r>
                                  <w:rPr>
                                    <w:rStyle w:val="Hyperlink"/>
                                    <w:rFonts w:ascii="Tahoma" w:hAnsi="Tahoma" w:cs="Tahoma"/>
                                    <w:b/>
                                    <w:bCs/>
                                    <w:color w:val="4E3487"/>
                                    <w:sz w:val="21"/>
                                    <w:szCs w:val="21"/>
                                  </w:rPr>
                                  <w:t>C-19 test distribution service webpage</w:t>
                                </w:r>
                              </w:hyperlink>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3"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2"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B33D71"/>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b671e78d7a&amp;e=d3dc5e7fbd" TargetMode="External"/><Relationship Id="rId18" Type="http://schemas.openxmlformats.org/officeDocument/2006/relationships/hyperlink" Target="https://psnc.us7.list-manage.com/track/click?u=86d41ab7fa4c7c2c5d7210782&amp;id=3f47eea43b&amp;e=d3dc5e7fbd"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psnc.us7.list-manage.com/track/click?u=86d41ab7fa4c7c2c5d7210782&amp;id=078a7c0d85&amp;e=12757307a1"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psnc.us7.list-manage.com/track/click?u=86d41ab7fa4c7c2c5d7210782&amp;id=9f085df2d1&amp;e=d3dc5e7fbd" TargetMode="External"/><Relationship Id="rId20" Type="http://schemas.openxmlformats.org/officeDocument/2006/relationships/hyperlink" Target="https://psnc.us7.list-manage.com/track/click?u=86d41ab7fa4c7c2c5d7210782&amp;id=b774bcfe37&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5fe5eacf66&amp;e=12757307a1"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psnc.us7.list-manage.com/track/click?u=86d41ab7fa4c7c2c5d7210782&amp;id=7708fba91f&amp;e=12757307a1"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eef225a40a&amp;e=12757307a1" TargetMode="External"/><Relationship Id="rId14" Type="http://schemas.openxmlformats.org/officeDocument/2006/relationships/hyperlink" Target="https://psnc.us7.list-manage.com/track/click?u=86d41ab7fa4c7c2c5d7210782&amp;id=0719e3152f&amp;e=d3dc5e7fbd" TargetMode="External"/><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3096</Words>
  <Characters>17648</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2021-04-16T22:22:00Z</dcterms:created>
  <dcterms:modified xsi:type="dcterms:W3CDTF">2021-04-16T22:22:00Z</dcterms:modified>
</cp:coreProperties>
</file>