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E35D68">
                          <w:rPr>
                            <w:noProof/>
                          </w:rPr>
                          <w:fldChar w:fldCharType="begin"/>
                        </w:r>
                        <w:r w:rsidR="00E35D68">
                          <w:rPr>
                            <w:noProof/>
                          </w:rPr>
                          <w:instrText xml:space="preserve"> </w:instrText>
                        </w:r>
                        <w:r w:rsidR="00E35D68">
                          <w:rPr>
                            <w:noProof/>
                          </w:rPr>
                          <w:instrText>INCLUDEPICTURE  "/var/folders/zq/_hgbfm5j5m929nsq7yq0snt00000gn/T/com.microsoft.Word/WebArchiveCopyPasteTempFiles/001d399a-96a4</w:instrText>
                        </w:r>
                        <w:r w:rsidR="00E35D68">
                          <w:rPr>
                            <w:noProof/>
                          </w:rPr>
                          <w:instrText>-4e1f-b905-a21d530b5d29.jpg" \* MERGEFORMATINET</w:instrText>
                        </w:r>
                        <w:r w:rsidR="00E35D68">
                          <w:rPr>
                            <w:noProof/>
                          </w:rPr>
                          <w:instrText xml:space="preserve"> </w:instrText>
                        </w:r>
                        <w:r w:rsidR="00E35D68">
                          <w:rPr>
                            <w:noProof/>
                          </w:rPr>
                          <w:fldChar w:fldCharType="separate"/>
                        </w:r>
                        <w:r w:rsidR="00E35D68">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E35D68">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71CFBEEC" w:rsidR="002F42A7" w:rsidRPr="00DE6A3B" w:rsidRDefault="00453581"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19</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E35D68">
                    <w:rPr>
                      <w:rFonts w:ascii="Helvetica" w:hAnsi="Helvetica"/>
                      <w:noProof/>
                      <w:color w:val="000000"/>
                      <w:sz w:val="18"/>
                      <w:szCs w:val="18"/>
                    </w:rPr>
                    <w:fldChar w:fldCharType="begin"/>
                  </w:r>
                  <w:r w:rsidR="00E35D68">
                    <w:rPr>
                      <w:rFonts w:ascii="Helvetica" w:hAnsi="Helvetica"/>
                      <w:noProof/>
                      <w:color w:val="000000"/>
                      <w:sz w:val="18"/>
                      <w:szCs w:val="18"/>
                    </w:rPr>
                    <w:instrText xml:space="preserve"> </w:instrText>
                  </w:r>
                  <w:r w:rsidR="00E35D68">
                    <w:rPr>
                      <w:rFonts w:ascii="Helvetica" w:hAnsi="Helvetica"/>
                      <w:noProof/>
                      <w:color w:val="000000"/>
                      <w:sz w:val="18"/>
                      <w:szCs w:val="18"/>
                    </w:rPr>
                    <w:instrText>INCLUDEPICTURE  "/var/folders/zq/_hgbfm5j5m929nsq7yq0snt00000gn/T/com.microsoft.Word/WebArchive</w:instrText>
                  </w:r>
                  <w:r w:rsidR="00E35D68">
                    <w:rPr>
                      <w:rFonts w:ascii="Helvetica" w:hAnsi="Helvetica"/>
                      <w:noProof/>
                      <w:color w:val="000000"/>
                      <w:sz w:val="18"/>
                      <w:szCs w:val="18"/>
                    </w:rPr>
                    <w:instrText>CopyPasteTempFiles/Newsletter-style-bar.png" \* MERGEFORMATINET</w:instrText>
                  </w:r>
                  <w:r w:rsidR="00E35D68">
                    <w:rPr>
                      <w:rFonts w:ascii="Helvetica" w:hAnsi="Helvetica"/>
                      <w:noProof/>
                      <w:color w:val="000000"/>
                      <w:sz w:val="18"/>
                      <w:szCs w:val="18"/>
                    </w:rPr>
                    <w:instrText xml:space="preserve"> </w:instrText>
                  </w:r>
                  <w:r w:rsidR="00E35D68">
                    <w:rPr>
                      <w:rFonts w:ascii="Helvetica" w:hAnsi="Helvetica"/>
                      <w:noProof/>
                      <w:color w:val="000000"/>
                      <w:sz w:val="18"/>
                      <w:szCs w:val="18"/>
                    </w:rPr>
                    <w:fldChar w:fldCharType="separate"/>
                  </w:r>
                  <w:r w:rsidR="00E35D68">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E35D68">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E35D68"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30AB52DE" w14:textId="77777777" w:rsidR="00453581" w:rsidRDefault="00453581" w:rsidP="00453581">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Hepatitis C testing service case study; Amantadine price re-determination; April CEO video; Budesonide and C-19 alert; Ramadan C-19 resources.</w:t>
                              </w:r>
                            </w:p>
                            <w:p w14:paraId="3796E365" w14:textId="77777777" w:rsidR="00453581" w:rsidRDefault="00453581" w:rsidP="00453581">
                              <w:pPr>
                                <w:rPr>
                                  <w:rFonts w:ascii="Times New Roman" w:hAnsi="Times New Roman" w:cs="Times New Roman"/>
                                </w:rPr>
                              </w:pPr>
                              <w:r>
                                <w:rPr>
                                  <w:rFonts w:ascii="Tahoma" w:hAnsi="Tahoma" w:cs="Tahoma"/>
                                  <w:color w:val="303030"/>
                                  <w:sz w:val="21"/>
                                  <w:szCs w:val="21"/>
                                  <w:shd w:val="clear" w:color="auto" w:fill="FFFFFF"/>
                                </w:rPr>
                                <w:t> </w:t>
                              </w:r>
                            </w:p>
                            <w:p w14:paraId="329E5DE1" w14:textId="77777777" w:rsidR="00453581" w:rsidRPr="00453581" w:rsidRDefault="00453581" w:rsidP="00453581">
                              <w:pPr>
                                <w:pStyle w:val="Heading3"/>
                                <w:spacing w:before="0" w:after="75" w:line="297" w:lineRule="atLeast"/>
                                <w:rPr>
                                  <w:rFonts w:ascii="Tahoma" w:hAnsi="Tahoma" w:cs="Tahoma"/>
                                  <w:b/>
                                  <w:bCs/>
                                  <w:color w:val="4E3487"/>
                                  <w:sz w:val="28"/>
                                  <w:szCs w:val="28"/>
                                </w:rPr>
                              </w:pPr>
                              <w:r w:rsidRPr="00453581">
                                <w:rPr>
                                  <w:rFonts w:ascii="Tahoma" w:hAnsi="Tahoma" w:cs="Tahoma"/>
                                  <w:b/>
                                  <w:bCs/>
                                  <w:color w:val="4E3487"/>
                                  <w:sz w:val="28"/>
                                  <w:szCs w:val="28"/>
                                </w:rPr>
                                <w:t>Hepatitis C Testing supporting local case finding</w:t>
                              </w:r>
                            </w:p>
                            <w:p w14:paraId="00843F75" w14:textId="77777777" w:rsidR="00453581" w:rsidRDefault="00453581" w:rsidP="00453581">
                              <w:pPr>
                                <w:rPr>
                                  <w:rFonts w:ascii="Tahoma" w:hAnsi="Tahoma" w:cs="Tahoma"/>
                                  <w:color w:val="303030"/>
                                  <w:sz w:val="21"/>
                                  <w:szCs w:val="21"/>
                                </w:rPr>
                              </w:pPr>
                              <w:r>
                                <w:rPr>
                                  <w:rFonts w:ascii="Tahoma" w:hAnsi="Tahoma" w:cs="Tahoma"/>
                                  <w:color w:val="303030"/>
                                  <w:sz w:val="21"/>
                                  <w:szCs w:val="21"/>
                                </w:rPr>
                                <w:br/>
                                <w:t>The Community Pharmacy Hepatitis C Antibody Testing Service is focused on the provision</w:t>
                              </w:r>
                              <w:r>
                                <w:rPr>
                                  <w:rFonts w:ascii="Tahoma" w:hAnsi="Tahoma" w:cs="Tahoma"/>
                                  <w:color w:val="303030"/>
                                  <w:sz w:val="21"/>
                                  <w:szCs w:val="21"/>
                                </w:rPr>
                                <w:br/>
                                <w:t>of point-of-care testing for Hepatitis C antibodies to people who inject illicit substances and are not currently receiving treatment for their drug use.</w:t>
                              </w:r>
                              <w:r>
                                <w:rPr>
                                  <w:rFonts w:ascii="Tahoma" w:hAnsi="Tahoma" w:cs="Tahoma"/>
                                  <w:color w:val="303030"/>
                                  <w:sz w:val="21"/>
                                  <w:szCs w:val="21"/>
                                </w:rPr>
                                <w:br/>
                              </w:r>
                              <w:r>
                                <w:rPr>
                                  <w:rFonts w:ascii="Tahoma" w:hAnsi="Tahoma" w:cs="Tahoma"/>
                                  <w:color w:val="303030"/>
                                  <w:sz w:val="21"/>
                                  <w:szCs w:val="21"/>
                                </w:rPr>
                                <w:br/>
                                <w:t>Though contractors who provide a needle and syringe programme (NSP) are best placed to provide this service, a pharmacy in South Shields (Carters Chemist) that did not provide an NSP has worked locally with their LPC, the Operational Delivery Network based at a Hospital in Newcastle upon Tyne and other stakeholders to successfully test a high number of patients.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how Carters Chemist achieved this</w:t>
                                </w:r>
                              </w:hyperlink>
                              <w:r>
                                <w:rPr>
                                  <w:rFonts w:ascii="Tahoma" w:hAnsi="Tahoma" w:cs="Tahoma"/>
                                  <w:color w:val="303030"/>
                                  <w:sz w:val="21"/>
                                  <w:szCs w:val="21"/>
                                </w:rPr>
                                <w:t> </w:t>
                              </w:r>
                              <w:r>
                                <w:rPr>
                                  <w:rFonts w:ascii="Tahoma" w:hAnsi="Tahoma" w:cs="Tahoma"/>
                                  <w:color w:val="303030"/>
                                  <w:sz w:val="21"/>
                                  <w:szCs w:val="21"/>
                                </w:rPr>
                                <w:br/>
                                <w:t> </w:t>
                              </w:r>
                            </w:p>
                            <w:p w14:paraId="6C832040" w14:textId="77777777" w:rsidR="00453581" w:rsidRPr="00453581" w:rsidRDefault="00453581" w:rsidP="00453581">
                              <w:pPr>
                                <w:pStyle w:val="Heading3"/>
                                <w:spacing w:before="0" w:after="75" w:line="297" w:lineRule="atLeast"/>
                                <w:rPr>
                                  <w:rFonts w:ascii="Tahoma" w:hAnsi="Tahoma" w:cs="Tahoma"/>
                                  <w:b/>
                                  <w:bCs/>
                                  <w:color w:val="4E3487"/>
                                  <w:sz w:val="28"/>
                                  <w:szCs w:val="28"/>
                                </w:rPr>
                              </w:pPr>
                              <w:r w:rsidRPr="00453581">
                                <w:rPr>
                                  <w:rFonts w:ascii="Tahoma" w:hAnsi="Tahoma" w:cs="Tahoma"/>
                                  <w:b/>
                                  <w:bCs/>
                                  <w:color w:val="4E3487"/>
                                  <w:sz w:val="28"/>
                                  <w:szCs w:val="28"/>
                                </w:rPr>
                                <w:t>Amantadine price re-determination</w:t>
                              </w:r>
                            </w:p>
                            <w:p w14:paraId="7D7932A8" w14:textId="77777777" w:rsidR="00453581" w:rsidRDefault="00453581" w:rsidP="00453581">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Department of Health and Social Care (DHSC) has </w:t>
                              </w:r>
                              <w:hyperlink r:id="rId10" w:tgtFrame="_blank" w:tooltip="https://www.nhsbsa.nhs.uk/drug-tariff-re-determination-behalf-dhsc-amantadine-100mg-capsules" w:history="1">
                                <w:r>
                                  <w:rPr>
                                    <w:rStyle w:val="Hyperlink"/>
                                    <w:rFonts w:ascii="Tahoma" w:hAnsi="Tahoma" w:cs="Tahoma"/>
                                    <w:b/>
                                    <w:bCs/>
                                    <w:color w:val="4E3487"/>
                                    <w:sz w:val="21"/>
                                    <w:szCs w:val="21"/>
                                  </w:rPr>
                                  <w:t>redetermined</w:t>
                                </w:r>
                              </w:hyperlink>
                              <w:r>
                                <w:rPr>
                                  <w:rFonts w:ascii="Tahoma" w:hAnsi="Tahoma" w:cs="Tahoma"/>
                                  <w:color w:val="303030"/>
                                  <w:sz w:val="21"/>
                                  <w:szCs w:val="21"/>
                                  <w:shd w:val="clear" w:color="auto" w:fill="FFFFFF"/>
                                </w:rPr>
                                <w:t> the Category M price for Amantadine 100mg capsules in the April 2021 </w:t>
                              </w:r>
                              <w:hyperlink r:id="rId11" w:tgtFrame="_blank" w:history="1">
                                <w:r>
                                  <w:rPr>
                                    <w:rStyle w:val="Hyperlink"/>
                                    <w:rFonts w:ascii="Tahoma" w:hAnsi="Tahoma" w:cs="Tahoma"/>
                                    <w:b/>
                                    <w:bCs/>
                                    <w:color w:val="4E3487"/>
                                    <w:sz w:val="21"/>
                                    <w:szCs w:val="21"/>
                                  </w:rPr>
                                  <w:t>Drug Tariff.</w:t>
                                </w:r>
                              </w:hyperlink>
                            </w:p>
                            <w:p w14:paraId="2D9942B4" w14:textId="77777777" w:rsidR="00453581" w:rsidRDefault="00453581" w:rsidP="00453581">
                              <w:pPr>
                                <w:pStyle w:val="NormalWeb"/>
                                <w:jc w:val="both"/>
                                <w:rPr>
                                  <w:rFonts w:ascii="Tahoma" w:hAnsi="Tahoma" w:cs="Tahoma"/>
                                  <w:color w:val="303030"/>
                                  <w:sz w:val="21"/>
                                  <w:szCs w:val="21"/>
                                </w:rPr>
                              </w:pPr>
                              <w:r>
                                <w:rPr>
                                  <w:rFonts w:ascii="Tahoma" w:hAnsi="Tahoma" w:cs="Tahoma"/>
                                  <w:color w:val="303030"/>
                                  <w:sz w:val="21"/>
                                  <w:szCs w:val="21"/>
                                </w:rPr>
                                <w:t>The Part VIIIA Basic Price published in the April 2021 Drug Tariff for Amantadine 100mg capsules (56) is now </w:t>
                              </w:r>
                              <w:r>
                                <w:rPr>
                                  <w:rStyle w:val="Strong"/>
                                  <w:rFonts w:ascii="Tahoma" w:hAnsi="Tahoma" w:cs="Tahoma"/>
                                  <w:color w:val="303030"/>
                                  <w:sz w:val="21"/>
                                  <w:szCs w:val="21"/>
                                </w:rPr>
                                <w:t>£26.34</w:t>
                              </w:r>
                              <w:r>
                                <w:rPr>
                                  <w:rFonts w:ascii="Tahoma" w:hAnsi="Tahoma" w:cs="Tahoma"/>
                                  <w:color w:val="303030"/>
                                  <w:sz w:val="21"/>
                                  <w:szCs w:val="21"/>
                                </w:rPr>
                                <w:t> instead of £11.25.</w:t>
                              </w:r>
                            </w:p>
                            <w:p w14:paraId="6BA0CDFA" w14:textId="77777777" w:rsidR="00453581" w:rsidRDefault="00453581" w:rsidP="00453581">
                              <w:pPr>
                                <w:pStyle w:val="NormalWeb"/>
                                <w:jc w:val="both"/>
                                <w:rPr>
                                  <w:rFonts w:ascii="Tahoma" w:hAnsi="Tahoma" w:cs="Tahoma"/>
                                  <w:color w:val="303030"/>
                                  <w:sz w:val="21"/>
                                  <w:szCs w:val="21"/>
                                </w:rPr>
                              </w:pPr>
                              <w:r>
                                <w:rPr>
                                  <w:rFonts w:ascii="Tahoma" w:hAnsi="Tahoma" w:cs="Tahoma"/>
                                  <w:color w:val="303030"/>
                                  <w:sz w:val="21"/>
                                  <w:szCs w:val="21"/>
                                </w:rPr>
                                <w:t>Following the usual quarterly Category M pricing cycle, this will be the new Tariff price for April to June 2021.</w:t>
                              </w:r>
                            </w:p>
                            <w:p w14:paraId="130AE0D1" w14:textId="77777777" w:rsidR="00453581" w:rsidRPr="00453581" w:rsidRDefault="00453581" w:rsidP="00453581">
                              <w:pPr>
                                <w:pStyle w:val="Heading3"/>
                                <w:spacing w:before="0" w:after="75" w:line="297" w:lineRule="atLeast"/>
                                <w:rPr>
                                  <w:rFonts w:ascii="Tahoma" w:hAnsi="Tahoma" w:cs="Tahoma"/>
                                  <w:b/>
                                  <w:bCs/>
                                  <w:color w:val="4E3487"/>
                                  <w:sz w:val="28"/>
                                  <w:szCs w:val="28"/>
                                </w:rPr>
                              </w:pPr>
                              <w:r w:rsidRPr="00453581">
                                <w:rPr>
                                  <w:rFonts w:ascii="Tahoma" w:hAnsi="Tahoma" w:cs="Tahoma"/>
                                  <w:b/>
                                  <w:bCs/>
                                  <w:color w:val="4E3487"/>
                                  <w:sz w:val="28"/>
                                  <w:szCs w:val="28"/>
                                </w:rPr>
                                <w:t>PSNC CEO video update: April 2021</w:t>
                              </w:r>
                            </w:p>
                            <w:p w14:paraId="235F621B" w14:textId="77777777" w:rsidR="00453581" w:rsidRDefault="00453581" w:rsidP="00453581">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In his latest video message to the sector, PSNC Chief Executive Simon Dukes praises how community pharmacy teams have stepped up to provide the new NHS community pharmacy C-19 lateral flow device distribution service (Pharmacy Collect) and reiterates PSNC’s call for the Government and NHS to cover the costs that community pharmacies have incurred during the C-19 pandemic. This is part of a monthly video update series from the PSNC CEO.</w:t>
                              </w:r>
                              <w:r>
                                <w:rPr>
                                  <w:rFonts w:ascii="Tahoma" w:hAnsi="Tahoma" w:cs="Tahoma"/>
                                  <w:color w:val="303030"/>
                                  <w:sz w:val="21"/>
                                  <w:szCs w:val="21"/>
                                </w:rPr>
                                <w:br/>
                              </w:r>
                              <w:r>
                                <w:rPr>
                                  <w:rFonts w:ascii="Tahoma" w:hAnsi="Tahoma" w:cs="Tahoma"/>
                                  <w:color w:val="303030"/>
                                  <w:sz w:val="21"/>
                                  <w:szCs w:val="21"/>
                                </w:rPr>
                                <w:br/>
                              </w:r>
                              <w:hyperlink r:id="rId12" w:tgtFrame="_blank" w:tooltip="https://psnc.org.uk/our-news/april-video-update-from-psncs-ceo/" w:history="1">
                                <w:r>
                                  <w:rPr>
                                    <w:rStyle w:val="Hyperlink"/>
                                    <w:rFonts w:ascii="Tahoma" w:hAnsi="Tahoma" w:cs="Tahoma"/>
                                    <w:b/>
                                    <w:bCs/>
                                    <w:color w:val="4E3487"/>
                                    <w:sz w:val="21"/>
                                    <w:szCs w:val="21"/>
                                  </w:rPr>
                                  <w:t>Watch Simon's video message here</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1D4377C8" w14:textId="77777777" w:rsidR="00453581" w:rsidRPr="00453581" w:rsidRDefault="00453581" w:rsidP="00453581">
                              <w:pPr>
                                <w:pStyle w:val="Heading3"/>
                                <w:spacing w:before="0" w:after="75" w:line="297" w:lineRule="atLeast"/>
                                <w:rPr>
                                  <w:rFonts w:ascii="Tahoma" w:hAnsi="Tahoma" w:cs="Tahoma"/>
                                  <w:b/>
                                  <w:bCs/>
                                  <w:color w:val="4E3487"/>
                                  <w:sz w:val="28"/>
                                  <w:szCs w:val="28"/>
                                </w:rPr>
                              </w:pPr>
                              <w:r w:rsidRPr="00453581">
                                <w:rPr>
                                  <w:rFonts w:ascii="Tahoma" w:hAnsi="Tahoma" w:cs="Tahoma"/>
                                  <w:b/>
                                  <w:bCs/>
                                  <w:color w:val="4E3487"/>
                                  <w:sz w:val="28"/>
                                  <w:szCs w:val="28"/>
                                </w:rPr>
                                <w:lastRenderedPageBreak/>
                                <w:t>Alert: inhaled Budesonide for adults with C-19</w:t>
                              </w:r>
                            </w:p>
                            <w:p w14:paraId="4057028E" w14:textId="77777777" w:rsidR="00453581" w:rsidRDefault="00453581" w:rsidP="00453581">
                              <w:pPr>
                                <w:pStyle w:val="NormalWeb"/>
                                <w:rPr>
                                  <w:rFonts w:ascii="Tahoma" w:hAnsi="Tahoma" w:cs="Tahoma"/>
                                  <w:color w:val="303030"/>
                                  <w:sz w:val="21"/>
                                  <w:szCs w:val="21"/>
                                </w:rPr>
                              </w:pPr>
                              <w:r>
                                <w:rPr>
                                  <w:rFonts w:ascii="Tahoma" w:hAnsi="Tahoma" w:cs="Tahoma"/>
                                  <w:color w:val="303030"/>
                                  <w:sz w:val="21"/>
                                  <w:szCs w:val="21"/>
                                </w:rPr>
                                <w:t>A Central Alert System (CAS) alert has been issued containing guidance for prescribers in primary care and community pharmacies in relation to the therapeutic use of inhaled budesonide in adults (50 years and over) with C-19. This is the first COVID-19 treatment for use in the UK within a community setting.</w:t>
                              </w:r>
                              <w:r>
                                <w:rPr>
                                  <w:rFonts w:ascii="Tahoma" w:hAnsi="Tahoma" w:cs="Tahoma"/>
                                  <w:color w:val="303030"/>
                                  <w:sz w:val="21"/>
                                  <w:szCs w:val="21"/>
                                </w:rPr>
                                <w:br/>
                                <w:t> </w:t>
                              </w:r>
                              <w:r>
                                <w:rPr>
                                  <w:rFonts w:ascii="Tahoma" w:hAnsi="Tahoma" w:cs="Tahoma"/>
                                  <w:color w:val="303030"/>
                                  <w:sz w:val="21"/>
                                  <w:szCs w:val="21"/>
                                </w:rPr>
                                <w:br/>
                              </w:r>
                              <w:hyperlink r:id="rId13" w:tgtFrame="_blank" w:tooltip="https://psnc.org.uk/our-news/covid-19-therapeutic-alert-inhaled-budesonide-for-adults-with-covid-19/" w:history="1">
                                <w:r>
                                  <w:rPr>
                                    <w:rStyle w:val="Hyperlink"/>
                                    <w:rFonts w:ascii="Tahoma" w:hAnsi="Tahoma" w:cs="Tahoma"/>
                                    <w:b/>
                                    <w:bCs/>
                                    <w:color w:val="4E3487"/>
                                    <w:sz w:val="21"/>
                                    <w:szCs w:val="21"/>
                                  </w:rPr>
                                  <w:t>Read the C-19 Therapeutic Alert</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4E3487"/>
                                  <w:sz w:val="27"/>
                                  <w:szCs w:val="27"/>
                                </w:rPr>
                                <w:t>Ramadan C-19 resources for pharmacy teams</w:t>
                              </w:r>
                              <w:r>
                                <w:rPr>
                                  <w:rFonts w:ascii="Tahoma" w:hAnsi="Tahoma" w:cs="Tahoma"/>
                                  <w:color w:val="303030"/>
                                  <w:sz w:val="21"/>
                                  <w:szCs w:val="21"/>
                                </w:rPr>
                                <w:br/>
                              </w:r>
                              <w:r>
                                <w:rPr>
                                  <w:rFonts w:ascii="Tahoma" w:hAnsi="Tahoma" w:cs="Tahoma"/>
                                  <w:color w:val="303030"/>
                                  <w:sz w:val="21"/>
                                  <w:szCs w:val="21"/>
                                </w:rPr>
                                <w:br/>
                                <w:t>PSNC has outlined some questions that pharmacy teams could be asked during Ramadan (which began earlier this month) and has prepared answers to these questions. PSNC has also highlighted resources that pharmacy teams may find helpful to use or signpost patients to during Ramadan. </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See the Q&amp;As and resources</w:t>
                                </w:r>
                              </w:hyperlink>
                            </w:p>
                            <w:p w14:paraId="2D7EDC42" w14:textId="1325E2A4" w:rsidR="00071CFB" w:rsidRDefault="00071CFB" w:rsidP="006C142D">
                              <w:pPr>
                                <w:pStyle w:val="NormalWeb"/>
                                <w:rPr>
                                  <w:rFonts w:ascii="Tahoma" w:hAnsi="Tahoma" w:cs="Tahoma"/>
                                  <w:color w:val="303030"/>
                                  <w:sz w:val="21"/>
                                  <w:szCs w:val="21"/>
                                </w:rPr>
                              </w:pPr>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E35D68"/>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35F9"/>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5358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C142D"/>
    <w:rsid w:val="006D16C6"/>
    <w:rsid w:val="006D417B"/>
    <w:rsid w:val="006E4214"/>
    <w:rsid w:val="006F1130"/>
    <w:rsid w:val="0070181A"/>
    <w:rsid w:val="007208EE"/>
    <w:rsid w:val="00733DA6"/>
    <w:rsid w:val="007638C8"/>
    <w:rsid w:val="007A69E3"/>
    <w:rsid w:val="007B5953"/>
    <w:rsid w:val="007D1A7E"/>
    <w:rsid w:val="007D203B"/>
    <w:rsid w:val="007E0F34"/>
    <w:rsid w:val="007E43C3"/>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C1FC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35D68"/>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779623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36726062">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81410620">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4c640ad89d&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1e48545d75&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1d1b329a90&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042f174e52&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0ff1aea2b&amp;e=12757307a1" TargetMode="External"/><Relationship Id="rId14" Type="http://schemas.openxmlformats.org/officeDocument/2006/relationships/hyperlink" Target="https://psnc.us7.list-manage.com/track/click?u=86d41ab7fa4c7c2c5d7210782&amp;id=4ec98b3b80&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3075</Words>
  <Characters>17531</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2021-04-22T13:52:00Z</dcterms:created>
  <dcterms:modified xsi:type="dcterms:W3CDTF">2021-04-22T13:52:00Z</dcterms:modified>
</cp:coreProperties>
</file>