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687C0E">
                          <w:rPr>
                            <w:noProof/>
                          </w:rPr>
                          <w:fldChar w:fldCharType="begin"/>
                        </w:r>
                        <w:r w:rsidR="00687C0E">
                          <w:rPr>
                            <w:noProof/>
                          </w:rPr>
                          <w:instrText xml:space="preserve"> </w:instrText>
                        </w:r>
                        <w:r w:rsidR="00687C0E">
                          <w:rPr>
                            <w:noProof/>
                          </w:rPr>
                          <w:instrText>INCLUDEPICTURE  "/var/folders/zq/_hgbfm5j5m929nsq7yq0snt00000gn/T/com.microsoft.Word/WebArchiveCopyPasteTempFiles/001d399a-96a4</w:instrText>
                        </w:r>
                        <w:r w:rsidR="00687C0E">
                          <w:rPr>
                            <w:noProof/>
                          </w:rPr>
                          <w:instrText>-4e1f-b905-a21d530b5d29.jpg" \* MERGEFORMATINET</w:instrText>
                        </w:r>
                        <w:r w:rsidR="00687C0E">
                          <w:rPr>
                            <w:noProof/>
                          </w:rPr>
                          <w:instrText xml:space="preserve"> </w:instrText>
                        </w:r>
                        <w:r w:rsidR="00687C0E">
                          <w:rPr>
                            <w:noProof/>
                          </w:rPr>
                          <w:fldChar w:fldCharType="separate"/>
                        </w:r>
                        <w:r w:rsidR="00687C0E">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687C0E">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581AE04" w:rsidR="002F42A7" w:rsidRPr="00DE6A3B" w:rsidRDefault="008B3C65"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22</w:t>
                        </w:r>
                        <w:r w:rsidRPr="008B3C65">
                          <w:rPr>
                            <w:rFonts w:ascii="Tahoma" w:hAnsi="Tahoma" w:cs="Tahoma"/>
                            <w:color w:val="93378A"/>
                            <w:sz w:val="30"/>
                            <w:szCs w:val="30"/>
                            <w:vertAlign w:val="superscript"/>
                          </w:rPr>
                          <w:t>nd</w:t>
                        </w:r>
                        <w:r>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687C0E">
                    <w:rPr>
                      <w:rFonts w:ascii="Helvetica" w:hAnsi="Helvetica"/>
                      <w:noProof/>
                      <w:color w:val="000000"/>
                      <w:sz w:val="18"/>
                      <w:szCs w:val="18"/>
                    </w:rPr>
                    <w:fldChar w:fldCharType="begin"/>
                  </w:r>
                  <w:r w:rsidR="00687C0E">
                    <w:rPr>
                      <w:rFonts w:ascii="Helvetica" w:hAnsi="Helvetica"/>
                      <w:noProof/>
                      <w:color w:val="000000"/>
                      <w:sz w:val="18"/>
                      <w:szCs w:val="18"/>
                    </w:rPr>
                    <w:instrText xml:space="preserve"> </w:instrText>
                  </w:r>
                  <w:r w:rsidR="00687C0E">
                    <w:rPr>
                      <w:rFonts w:ascii="Helvetica" w:hAnsi="Helvetica"/>
                      <w:noProof/>
                      <w:color w:val="000000"/>
                      <w:sz w:val="18"/>
                      <w:szCs w:val="18"/>
                    </w:rPr>
                    <w:instrText>INCLUDEPICTURE  "/var/folders/zq/_hgbfm5j5m929nsq7yq0snt00000gn/T/com.microsoft.Word/WebArchive</w:instrText>
                  </w:r>
                  <w:r w:rsidR="00687C0E">
                    <w:rPr>
                      <w:rFonts w:ascii="Helvetica" w:hAnsi="Helvetica"/>
                      <w:noProof/>
                      <w:color w:val="000000"/>
                      <w:sz w:val="18"/>
                      <w:szCs w:val="18"/>
                    </w:rPr>
                    <w:instrText>CopyPasteTempFiles/Newsletter-style-bar.png" \* MERGEFORMATINET</w:instrText>
                  </w:r>
                  <w:r w:rsidR="00687C0E">
                    <w:rPr>
                      <w:rFonts w:ascii="Helvetica" w:hAnsi="Helvetica"/>
                      <w:noProof/>
                      <w:color w:val="000000"/>
                      <w:sz w:val="18"/>
                      <w:szCs w:val="18"/>
                    </w:rPr>
                    <w:instrText xml:space="preserve"> </w:instrText>
                  </w:r>
                  <w:r w:rsidR="00687C0E">
                    <w:rPr>
                      <w:rFonts w:ascii="Helvetica" w:hAnsi="Helvetica"/>
                      <w:noProof/>
                      <w:color w:val="000000"/>
                      <w:sz w:val="18"/>
                      <w:szCs w:val="18"/>
                    </w:rPr>
                    <w:fldChar w:fldCharType="separate"/>
                  </w:r>
                  <w:r w:rsidR="00687C0E">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687C0E">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687C0E"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071CFB" w14:paraId="76D49C8D" w14:textId="77777777" w:rsidTr="008B3C65">
                          <w:trPr>
                            <w:tblCellSpacing w:w="15" w:type="dxa"/>
                            <w:jc w:val="center"/>
                          </w:trPr>
                          <w:tc>
                            <w:tcPr>
                              <w:tcW w:w="8851" w:type="dxa"/>
                              <w:vAlign w:val="center"/>
                              <w:hideMark/>
                            </w:tcPr>
                            <w:p w14:paraId="15D3BEEF" w14:textId="77777777" w:rsidR="008B3C65" w:rsidRPr="008B3C65" w:rsidRDefault="008B3C65" w:rsidP="008B3C65">
                              <w:pPr>
                                <w:pStyle w:val="Heading3"/>
                                <w:spacing w:before="0" w:after="75" w:line="297" w:lineRule="atLeast"/>
                                <w:rPr>
                                  <w:rFonts w:ascii="Tahoma" w:hAnsi="Tahoma" w:cs="Tahoma"/>
                                  <w:b/>
                                  <w:bCs/>
                                  <w:color w:val="4E3487"/>
                                  <w:sz w:val="28"/>
                                  <w:szCs w:val="28"/>
                                </w:rPr>
                              </w:pPr>
                              <w:r w:rsidRPr="008B3C65">
                                <w:rPr>
                                  <w:rFonts w:ascii="Tahoma" w:hAnsi="Tahoma" w:cs="Tahoma"/>
                                  <w:b/>
                                  <w:bCs/>
                                  <w:color w:val="4E3487"/>
                                  <w:sz w:val="28"/>
                                  <w:szCs w:val="28"/>
                                </w:rPr>
                                <w:t>In today's update: Providing information when supplying C-19 test kits; HEE workforce survey; extension of Smartcard access to MYS portal; Trimethoprim recall.  </w:t>
                              </w:r>
                              <w:r w:rsidRPr="008B3C65">
                                <w:rPr>
                                  <w:rFonts w:ascii="Tahoma" w:hAnsi="Tahoma" w:cs="Tahoma"/>
                                  <w:b/>
                                  <w:bCs/>
                                  <w:color w:val="4E3487"/>
                                  <w:sz w:val="28"/>
                                  <w:szCs w:val="28"/>
                                </w:rPr>
                                <w:br/>
                              </w:r>
                              <w:r w:rsidRPr="008B3C65">
                                <w:rPr>
                                  <w:rFonts w:ascii="Tahoma" w:hAnsi="Tahoma" w:cs="Tahoma"/>
                                  <w:b/>
                                  <w:bCs/>
                                  <w:color w:val="4E3487"/>
                                  <w:sz w:val="28"/>
                                  <w:szCs w:val="28"/>
                                </w:rPr>
                                <w:br/>
                                <w:t>C-19 test distribution service: providing information when supplying test kits</w:t>
                              </w:r>
                            </w:p>
                            <w:p w14:paraId="7750995C" w14:textId="77777777" w:rsidR="008B3C65" w:rsidRDefault="008B3C65" w:rsidP="008B3C65">
                              <w:pPr>
                                <w:jc w:val="both"/>
                                <w:rPr>
                                  <w:rFonts w:ascii="Tahoma" w:hAnsi="Tahoma" w:cs="Tahoma"/>
                                  <w:color w:val="303030"/>
                                  <w:sz w:val="21"/>
                                  <w:szCs w:val="21"/>
                                </w:rPr>
                              </w:pPr>
                              <w:r>
                                <w:rPr>
                                  <w:rFonts w:ascii="Tahoma" w:hAnsi="Tahoma" w:cs="Tahoma"/>
                                  <w:color w:val="303030"/>
                                  <w:sz w:val="21"/>
                                  <w:szCs w:val="21"/>
                                </w:rPr>
                                <w:br/>
                                <w:t>Community pharmacy contractors participating in the NHS community pharmacy C-19 lateral flow device distribution service (Pharmacy Collect) must ensure that people collecting test kits understand a range of </w:t>
                              </w:r>
                              <w:hyperlink r:id="rId9" w:tgtFrame="_blank" w:history="1">
                                <w:r>
                                  <w:rPr>
                                    <w:rStyle w:val="Hyperlink"/>
                                    <w:rFonts w:ascii="Tahoma" w:hAnsi="Tahoma" w:cs="Tahoma"/>
                                    <w:b/>
                                    <w:bCs/>
                                    <w:color w:val="4E3487"/>
                                    <w:sz w:val="21"/>
                                    <w:szCs w:val="21"/>
                                  </w:rPr>
                                  <w:t>key points</w:t>
                                </w:r>
                              </w:hyperlink>
                              <w:r>
                                <w:rPr>
                                  <w:rFonts w:ascii="Tahoma" w:hAnsi="Tahoma" w:cs="Tahoma"/>
                                  <w:color w:val="303030"/>
                                  <w:sz w:val="21"/>
                                  <w:szCs w:val="21"/>
                                </w:rPr>
                                <w:t>.</w:t>
                              </w:r>
                            </w:p>
                            <w:p w14:paraId="6A1843A6" w14:textId="1E82896C" w:rsidR="008B3C65" w:rsidRDefault="008B3C65" w:rsidP="008B3C65">
                              <w:pPr>
                                <w:pStyle w:val="NormalWeb"/>
                                <w:jc w:val="both"/>
                                <w:rPr>
                                  <w:rFonts w:ascii="Tahoma" w:hAnsi="Tahoma" w:cs="Tahoma"/>
                                  <w:color w:val="303030"/>
                                  <w:sz w:val="21"/>
                                  <w:szCs w:val="21"/>
                                </w:rPr>
                              </w:pPr>
                              <w:r>
                                <w:rPr>
                                  <w:rFonts w:ascii="Tahoma" w:hAnsi="Tahoma" w:cs="Tahoma"/>
                                  <w:color w:val="303030"/>
                                  <w:sz w:val="21"/>
                                  <w:szCs w:val="21"/>
                                </w:rPr>
                                <w:t>These key points </w:t>
                              </w:r>
                              <w:r>
                                <w:rPr>
                                  <w:rStyle w:val="Strong"/>
                                  <w:rFonts w:ascii="Tahoma" w:hAnsi="Tahoma" w:cs="Tahoma"/>
                                  <w:color w:val="303030"/>
                                  <w:sz w:val="21"/>
                                  <w:szCs w:val="21"/>
                                </w:rPr>
                                <w:t>MUST</w:t>
                              </w:r>
                              <w:r>
                                <w:rPr>
                                  <w:rFonts w:ascii="Tahoma" w:hAnsi="Tahoma" w:cs="Tahoma"/>
                                  <w:color w:val="303030"/>
                                  <w:sz w:val="21"/>
                                  <w:szCs w:val="21"/>
                                </w:rPr>
                                <w:t xml:space="preserve"> be provided to a person collecting test kits where they indicate that this is their </w:t>
                              </w:r>
                              <w:r>
                                <w:rPr>
                                  <w:rFonts w:ascii="Tahoma" w:hAnsi="Tahoma" w:cs="Tahoma"/>
                                  <w:color w:val="303030"/>
                                  <w:sz w:val="21"/>
                                  <w:szCs w:val="21"/>
                                </w:rPr>
                                <w:t>first-time</w:t>
                              </w:r>
                              <w:r>
                                <w:rPr>
                                  <w:rFonts w:ascii="Tahoma" w:hAnsi="Tahoma" w:cs="Tahoma"/>
                                  <w:color w:val="303030"/>
                                  <w:sz w:val="21"/>
                                  <w:szCs w:val="21"/>
                                </w:rPr>
                                <w:t> collecting test kits. On subsequent collections, pharmacy teams can exercise their discretion to determine whether all the points need to be covered. </w:t>
                              </w:r>
                              <w:r>
                                <w:rPr>
                                  <w:rStyle w:val="Strong"/>
                                  <w:rFonts w:ascii="Tahoma" w:hAnsi="Tahoma" w:cs="Tahoma"/>
                                  <w:color w:val="303030"/>
                                  <w:sz w:val="21"/>
                                  <w:szCs w:val="21"/>
                                </w:rPr>
                                <w:t>It is critical that pharmacy teams remind people of the importance of reporting their results, whether positive or negative.</w:t>
                              </w:r>
                              <w:r>
                                <w:rPr>
                                  <w:rFonts w:ascii="Tahoma" w:hAnsi="Tahoma" w:cs="Tahoma"/>
                                  <w:color w:val="303030"/>
                                  <w:sz w:val="21"/>
                                  <w:szCs w:val="21"/>
                                </w:rPr>
                                <w:t> </w:t>
                              </w:r>
                            </w:p>
                            <w:p w14:paraId="3FE8206E" w14:textId="77777777" w:rsidR="008B3C65" w:rsidRDefault="008B3C65" w:rsidP="008B3C65">
                              <w:pPr>
                                <w:pStyle w:val="NormalWeb"/>
                                <w:jc w:val="both"/>
                                <w:rPr>
                                  <w:rFonts w:ascii="Tahoma" w:hAnsi="Tahoma" w:cs="Tahoma"/>
                                  <w:color w:val="303030"/>
                                  <w:sz w:val="21"/>
                                  <w:szCs w:val="21"/>
                                </w:rPr>
                              </w:pPr>
                              <w:hyperlink r:id="rId10" w:tgtFrame="_blank" w:history="1">
                                <w:r>
                                  <w:rPr>
                                    <w:rStyle w:val="Strong"/>
                                    <w:rFonts w:ascii="Tahoma" w:hAnsi="Tahoma" w:cs="Tahoma"/>
                                    <w:color w:val="4E3487"/>
                                    <w:sz w:val="21"/>
                                    <w:szCs w:val="21"/>
                                  </w:rPr>
                                  <w:t>Read more about the C-19 test distribution service requirements</w:t>
                                </w:r>
                              </w:hyperlink>
                            </w:p>
                            <w:p w14:paraId="4730EFBB" w14:textId="77777777" w:rsidR="008B3C65" w:rsidRPr="008B3C65" w:rsidRDefault="008B3C65" w:rsidP="008B3C65">
                              <w:pPr>
                                <w:pStyle w:val="Heading3"/>
                                <w:spacing w:before="0" w:after="75" w:line="297" w:lineRule="atLeast"/>
                                <w:rPr>
                                  <w:rFonts w:ascii="Tahoma" w:hAnsi="Tahoma" w:cs="Tahoma"/>
                                  <w:b/>
                                  <w:bCs/>
                                  <w:color w:val="4E3487"/>
                                  <w:sz w:val="28"/>
                                  <w:szCs w:val="28"/>
                                </w:rPr>
                              </w:pPr>
                              <w:r w:rsidRPr="008B3C65">
                                <w:rPr>
                                  <w:rFonts w:ascii="Tahoma" w:hAnsi="Tahoma" w:cs="Tahoma"/>
                                  <w:b/>
                                  <w:bCs/>
                                  <w:color w:val="4E3487"/>
                                  <w:sz w:val="28"/>
                                  <w:szCs w:val="28"/>
                                </w:rPr>
                                <w:t>Contractors encouraged to complete HEE workforce survey</w:t>
                              </w:r>
                            </w:p>
                            <w:p w14:paraId="3B69B59F" w14:textId="77777777" w:rsidR="008B3C65" w:rsidRDefault="008B3C65" w:rsidP="008B3C65">
                              <w:pPr>
                                <w:jc w:val="both"/>
                                <w:rPr>
                                  <w:rFonts w:ascii="Tahoma" w:hAnsi="Tahoma" w:cs="Tahoma"/>
                                  <w:color w:val="303030"/>
                                  <w:sz w:val="21"/>
                                  <w:szCs w:val="21"/>
                                </w:rPr>
                              </w:pPr>
                              <w:r>
                                <w:rPr>
                                  <w:rFonts w:ascii="Tahoma" w:hAnsi="Tahoma" w:cs="Tahoma"/>
                                  <w:color w:val="303030"/>
                                  <w:sz w:val="21"/>
                                  <w:szCs w:val="21"/>
                                </w:rPr>
                                <w:br/>
                                <w:t>Contractors will shortly receive an email from NHSBSA inviting them to participate in the 2021 Health Education England (HEE) Community Pharmacy Workforce Survey.</w:t>
                              </w:r>
                            </w:p>
                            <w:p w14:paraId="616962AF" w14:textId="77777777" w:rsidR="008B3C65" w:rsidRDefault="008B3C65" w:rsidP="008B3C65">
                              <w:pPr>
                                <w:pStyle w:val="NormalWeb"/>
                                <w:rPr>
                                  <w:rFonts w:ascii="Tahoma" w:hAnsi="Tahoma" w:cs="Tahoma"/>
                                  <w:color w:val="303030"/>
                                  <w:sz w:val="21"/>
                                  <w:szCs w:val="21"/>
                                </w:rPr>
                              </w:pPr>
                              <w:r>
                                <w:rPr>
                                  <w:rFonts w:ascii="Tahoma" w:hAnsi="Tahoma" w:cs="Tahoma"/>
                                  <w:color w:val="303030"/>
                                  <w:sz w:val="21"/>
                                  <w:szCs w:val="21"/>
                                </w:rPr>
                                <w:t>PSNC encourages all pharmacy contractors to participate in this voluntary survey, as the results will help inform the future planning and funding in relation to the development of the community pharmacy workforce across the NHS in England.</w:t>
                              </w:r>
                              <w:r>
                                <w:rPr>
                                  <w:rFonts w:ascii="Tahoma" w:hAnsi="Tahoma" w:cs="Tahoma"/>
                                  <w:color w:val="303030"/>
                                  <w:sz w:val="21"/>
                                  <w:szCs w:val="21"/>
                                </w:rPr>
                                <w:br/>
                              </w:r>
                              <w:r>
                                <w:rPr>
                                  <w:rFonts w:ascii="Tahoma" w:hAnsi="Tahoma" w:cs="Tahoma"/>
                                  <w:color w:val="303030"/>
                                  <w:sz w:val="21"/>
                                  <w:szCs w:val="21"/>
                                </w:rPr>
                                <w:br/>
                                <w:t>The data from the previous workforce survey has also been used to the benefit of contractors by PSNC and LPCs in local and national negotiations on the development of community pharmacy services.</w:t>
                              </w:r>
                            </w:p>
                            <w:p w14:paraId="22FBD02F" w14:textId="77777777" w:rsidR="008B3C65" w:rsidRDefault="008B3C65" w:rsidP="008B3C65">
                              <w:pPr>
                                <w:pStyle w:val="NormalWeb"/>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 about the HEE workforce survey</w:t>
                                </w:r>
                              </w:hyperlink>
                            </w:p>
                            <w:p w14:paraId="316E512C" w14:textId="77777777" w:rsidR="008B3C65" w:rsidRPr="008B3C65" w:rsidRDefault="008B3C65" w:rsidP="008B3C65">
                              <w:pPr>
                                <w:pStyle w:val="Heading3"/>
                                <w:spacing w:before="0" w:after="75" w:line="297" w:lineRule="atLeast"/>
                                <w:rPr>
                                  <w:rFonts w:ascii="Tahoma" w:hAnsi="Tahoma" w:cs="Tahoma"/>
                                  <w:b/>
                                  <w:bCs/>
                                  <w:color w:val="4E3487"/>
                                  <w:sz w:val="28"/>
                                  <w:szCs w:val="28"/>
                                </w:rPr>
                              </w:pPr>
                              <w:r w:rsidRPr="008B3C65">
                                <w:rPr>
                                  <w:rFonts w:ascii="Tahoma" w:hAnsi="Tahoma" w:cs="Tahoma"/>
                                  <w:b/>
                                  <w:bCs/>
                                  <w:color w:val="4E3487"/>
                                  <w:sz w:val="28"/>
                                  <w:szCs w:val="28"/>
                                </w:rPr>
                                <w:t>Smartcard access to MYS portal extended</w:t>
                              </w:r>
                            </w:p>
                            <w:p w14:paraId="702CE45E" w14:textId="77777777" w:rsidR="008B3C65" w:rsidRDefault="008B3C65" w:rsidP="008B3C65">
                              <w:pPr>
                                <w:jc w:val="both"/>
                                <w:rPr>
                                  <w:rFonts w:ascii="Tahoma" w:hAnsi="Tahoma" w:cs="Tahoma"/>
                                  <w:color w:val="303030"/>
                                  <w:sz w:val="21"/>
                                  <w:szCs w:val="21"/>
                                </w:rPr>
                              </w:pPr>
                              <w:r>
                                <w:rPr>
                                  <w:rFonts w:ascii="Tahoma" w:hAnsi="Tahoma" w:cs="Tahoma"/>
                                  <w:color w:val="303030"/>
                                  <w:sz w:val="21"/>
                                  <w:szCs w:val="21"/>
                                </w:rPr>
                                <w:br/>
                                <w:t>Smartcard access to the </w:t>
                              </w:r>
                              <w:hyperlink r:id="rId12" w:tgtFrame="_blank"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rPr>
                                <w:t> was due to end on Sunday 18th April 2021; however, the NHS Business Services Authority (NHSBSA) has now extended the period by which contractors can access MYS using Smartcards to Sunday 16th May 2021.</w:t>
                              </w:r>
                            </w:p>
                            <w:p w14:paraId="0541CCC2" w14:textId="77777777" w:rsidR="008B3C65" w:rsidRDefault="008B3C65" w:rsidP="008B3C65">
                              <w:pPr>
                                <w:pStyle w:val="NormalWeb"/>
                                <w:jc w:val="both"/>
                                <w:rPr>
                                  <w:rFonts w:ascii="Tahoma" w:hAnsi="Tahoma" w:cs="Tahoma"/>
                                  <w:color w:val="303030"/>
                                  <w:sz w:val="21"/>
                                  <w:szCs w:val="21"/>
                                </w:rPr>
                              </w:pPr>
                              <w:r>
                                <w:rPr>
                                  <w:rFonts w:ascii="Tahoma" w:hAnsi="Tahoma" w:cs="Tahoma"/>
                                  <w:color w:val="303030"/>
                                  <w:sz w:val="21"/>
                                  <w:szCs w:val="21"/>
                                </w:rPr>
                                <w:lastRenderedPageBreak/>
                                <w:t>Smartcard users must register to access the MYS portal using their NHSmail login credentials before this date, as after this, Smartcard access to the MYS portal will be withdrawn.</w:t>
                              </w:r>
                              <w:r>
                                <w:rPr>
                                  <w:rFonts w:ascii="Tahoma" w:hAnsi="Tahoma" w:cs="Tahoma"/>
                                  <w:color w:val="303030"/>
                                  <w:sz w:val="21"/>
                                  <w:szCs w:val="21"/>
                                </w:rPr>
                                <w:br/>
                              </w:r>
                              <w:r>
                                <w:rPr>
                                  <w:rFonts w:ascii="Tahoma" w:hAnsi="Tahoma" w:cs="Tahoma"/>
                                  <w:color w:val="303030"/>
                                  <w:sz w:val="21"/>
                                  <w:szCs w:val="21"/>
                                </w:rPr>
                                <w:br/>
                              </w:r>
                              <w:hyperlink r:id="rId13" w:tgtFrame="_blank" w:tooltip="https://psnc.org.uk/our-news/deadline-extension-smartcard-access-to-mys-portal-now-ending-on-sunday-16th-may/" w:history="1">
                                <w:r>
                                  <w:rPr>
                                    <w:rStyle w:val="Hyperlink"/>
                                    <w:rFonts w:ascii="Tahoma" w:hAnsi="Tahoma" w:cs="Tahoma"/>
                                    <w:b/>
                                    <w:bCs/>
                                    <w:color w:val="4E3487"/>
                                    <w:sz w:val="21"/>
                                    <w:szCs w:val="21"/>
                                  </w:rPr>
                                  <w:t>Find out more about the change in access to the MYS portal</w:t>
                                </w:r>
                              </w:hyperlink>
                            </w:p>
                            <w:p w14:paraId="4858E373" w14:textId="77777777" w:rsidR="008B3C65" w:rsidRPr="008B3C65" w:rsidRDefault="008B3C65" w:rsidP="008B3C65">
                              <w:pPr>
                                <w:pStyle w:val="Heading3"/>
                                <w:spacing w:before="0" w:after="75" w:line="297" w:lineRule="atLeast"/>
                                <w:rPr>
                                  <w:rFonts w:ascii="Tahoma" w:hAnsi="Tahoma" w:cs="Tahoma"/>
                                  <w:b/>
                                  <w:bCs/>
                                  <w:color w:val="4E3487"/>
                                  <w:sz w:val="28"/>
                                  <w:szCs w:val="28"/>
                                </w:rPr>
                              </w:pPr>
                              <w:r w:rsidRPr="008B3C65">
                                <w:rPr>
                                  <w:rFonts w:ascii="Tahoma" w:hAnsi="Tahoma" w:cs="Tahoma"/>
                                  <w:b/>
                                  <w:bCs/>
                                  <w:color w:val="4E3487"/>
                                  <w:sz w:val="28"/>
                                  <w:szCs w:val="28"/>
                                </w:rPr>
                                <w:t>MHRA medicines recall notice</w:t>
                              </w:r>
                            </w:p>
                            <w:p w14:paraId="151A9CBB" w14:textId="77777777" w:rsidR="008B3C65" w:rsidRDefault="008B3C65" w:rsidP="008B3C65">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Medicines and Healthcare Regulatory Agency (MHRA) has issued a class 2 medicines recall for </w:t>
                              </w:r>
                              <w:r>
                                <w:rPr>
                                  <w:rStyle w:val="Strong"/>
                                  <w:rFonts w:ascii="Tahoma" w:hAnsi="Tahoma" w:cs="Tahoma"/>
                                  <w:color w:val="303030"/>
                                  <w:sz w:val="21"/>
                                  <w:szCs w:val="21"/>
                                </w:rPr>
                                <w:t>Trimethoprim 200mg tablets (</w:t>
                              </w:r>
                              <w:proofErr w:type="spellStart"/>
                              <w:r>
                                <w:rPr>
                                  <w:rStyle w:val="Strong"/>
                                  <w:rFonts w:ascii="Tahoma" w:hAnsi="Tahoma" w:cs="Tahoma"/>
                                  <w:color w:val="303030"/>
                                  <w:sz w:val="21"/>
                                  <w:szCs w:val="21"/>
                                </w:rPr>
                                <w:t>Ennogen</w:t>
                              </w:r>
                              <w:proofErr w:type="spellEnd"/>
                              <w:r>
                                <w:rPr>
                                  <w:rStyle w:val="Strong"/>
                                  <w:rFonts w:ascii="Tahoma" w:hAnsi="Tahoma" w:cs="Tahoma"/>
                                  <w:color w:val="303030"/>
                                  <w:sz w:val="21"/>
                                  <w:szCs w:val="21"/>
                                </w:rPr>
                                <w:t>). </w:t>
                              </w:r>
                              <w:r>
                                <w:rPr>
                                  <w:rFonts w:ascii="Tahoma" w:hAnsi="Tahoma" w:cs="Tahoma"/>
                                  <w:color w:val="303030"/>
                                  <w:sz w:val="21"/>
                                  <w:szCs w:val="21"/>
                                  <w:shd w:val="clear" w:color="auto" w:fill="FFFFFF"/>
                                </w:rPr>
                                <w:t>Healthcare professionals are advised to stop supplying the batches listed in the recall notice immediately.</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Learn more about the recall</w:t>
                                </w:r>
                              </w:hyperlink>
                            </w:p>
                            <w:p w14:paraId="2D7EDC42" w14:textId="171EDB67" w:rsidR="00071CFB" w:rsidRDefault="00071CFB" w:rsidP="008B3C65">
                              <w:pPr>
                                <w:pStyle w:val="NormalWeb"/>
                                <w:ind w:right="-214"/>
                                <w:jc w:val="both"/>
                                <w:rPr>
                                  <w:rFonts w:ascii="Tahoma" w:hAnsi="Tahoma" w:cs="Tahoma"/>
                                  <w:color w:val="303030"/>
                                  <w:sz w:val="21"/>
                                  <w:szCs w:val="21"/>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687C0E"/>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0E"/>
    <w:rsid w:val="00687CA4"/>
    <w:rsid w:val="006971BB"/>
    <w:rsid w:val="006A6286"/>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8B3C65"/>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08005034">
      <w:bodyDiv w:val="1"/>
      <w:marLeft w:val="0"/>
      <w:marRight w:val="0"/>
      <w:marTop w:val="0"/>
      <w:marBottom w:val="0"/>
      <w:divBdr>
        <w:top w:val="none" w:sz="0" w:space="0" w:color="auto"/>
        <w:left w:val="none" w:sz="0" w:space="0" w:color="auto"/>
        <w:bottom w:val="none" w:sz="0" w:space="0" w:color="auto"/>
        <w:right w:val="none" w:sz="0" w:space="0" w:color="auto"/>
      </w:divBdr>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e4a4208024&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2101d83d6e&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91acb85b03&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680a87168a&amp;e=12757307a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0d759557e&amp;e=12757307a1" TargetMode="External"/><Relationship Id="rId14" Type="http://schemas.openxmlformats.org/officeDocument/2006/relationships/hyperlink" Target="https://psnc.us7.list-manage.com/track/click?u=86d41ab7fa4c7c2c5d7210782&amp;id=affe28a68a&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3038</Words>
  <Characters>17317</Characters>
  <Application>Microsoft Office Word</Application>
  <DocSecurity>2</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2021-04-26T15:48:00Z</dcterms:created>
  <dcterms:modified xsi:type="dcterms:W3CDTF">2021-04-26T15:48:00Z</dcterms:modified>
</cp:coreProperties>
</file>