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E40FC9">
                          <w:rPr>
                            <w:noProof/>
                          </w:rPr>
                          <w:fldChar w:fldCharType="begin"/>
                        </w:r>
                        <w:r w:rsidR="00E40FC9">
                          <w:rPr>
                            <w:noProof/>
                          </w:rPr>
                          <w:instrText xml:space="preserve"> </w:instrText>
                        </w:r>
                        <w:r w:rsidR="00E40FC9">
                          <w:rPr>
                            <w:noProof/>
                          </w:rPr>
                          <w:instrText>INCLUDEPICTURE  "/var/folders/zq/_hgbfm5j5m929nsq7yq0snt00000gn/T/com.microsoft.Word/WebArchiveCopyPasteTempFiles/001d399a-96a4</w:instrText>
                        </w:r>
                        <w:r w:rsidR="00E40FC9">
                          <w:rPr>
                            <w:noProof/>
                          </w:rPr>
                          <w:instrText>-4e1f-b905-a21d530b5d29.jpg" \* MERGEFORMATINET</w:instrText>
                        </w:r>
                        <w:r w:rsidR="00E40FC9">
                          <w:rPr>
                            <w:noProof/>
                          </w:rPr>
                          <w:instrText xml:space="preserve"> </w:instrText>
                        </w:r>
                        <w:r w:rsidR="00E40FC9">
                          <w:rPr>
                            <w:noProof/>
                          </w:rPr>
                          <w:fldChar w:fldCharType="separate"/>
                        </w:r>
                        <w:r w:rsidR="00E40FC9">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E40FC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1E1E6203" w:rsidR="002F42A7" w:rsidRPr="00DE6A3B" w:rsidRDefault="006B7D6D"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70181A">
                          <w:rPr>
                            <w:rFonts w:ascii="Tahoma" w:hAnsi="Tahoma" w:cs="Tahoma"/>
                            <w:color w:val="93378A"/>
                            <w:sz w:val="30"/>
                            <w:szCs w:val="30"/>
                          </w:rPr>
                          <w:t>6</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E40FC9">
                    <w:rPr>
                      <w:rFonts w:ascii="Helvetica" w:hAnsi="Helvetica"/>
                      <w:noProof/>
                      <w:color w:val="000000"/>
                      <w:sz w:val="18"/>
                      <w:szCs w:val="18"/>
                    </w:rPr>
                    <w:fldChar w:fldCharType="begin"/>
                  </w:r>
                  <w:r w:rsidR="00E40FC9">
                    <w:rPr>
                      <w:rFonts w:ascii="Helvetica" w:hAnsi="Helvetica"/>
                      <w:noProof/>
                      <w:color w:val="000000"/>
                      <w:sz w:val="18"/>
                      <w:szCs w:val="18"/>
                    </w:rPr>
                    <w:instrText xml:space="preserve"> </w:instrText>
                  </w:r>
                  <w:r w:rsidR="00E40FC9">
                    <w:rPr>
                      <w:rFonts w:ascii="Helvetica" w:hAnsi="Helvetica"/>
                      <w:noProof/>
                      <w:color w:val="000000"/>
                      <w:sz w:val="18"/>
                      <w:szCs w:val="18"/>
                    </w:rPr>
                    <w:instrText>INCLUDEPICTURE  "/var/folders/zq/_hgbfm5j5m929nsq7yq0snt00000gn/T/com.microsoft.Word/WebArchive</w:instrText>
                  </w:r>
                  <w:r w:rsidR="00E40FC9">
                    <w:rPr>
                      <w:rFonts w:ascii="Helvetica" w:hAnsi="Helvetica"/>
                      <w:noProof/>
                      <w:color w:val="000000"/>
                      <w:sz w:val="18"/>
                      <w:szCs w:val="18"/>
                    </w:rPr>
                    <w:instrText>CopyPasteTempFiles/Newsletter-style-bar.png" \* MERGEFORMATINET</w:instrText>
                  </w:r>
                  <w:r w:rsidR="00E40FC9">
                    <w:rPr>
                      <w:rFonts w:ascii="Helvetica" w:hAnsi="Helvetica"/>
                      <w:noProof/>
                      <w:color w:val="000000"/>
                      <w:sz w:val="18"/>
                      <w:szCs w:val="18"/>
                    </w:rPr>
                    <w:instrText xml:space="preserve"> </w:instrText>
                  </w:r>
                  <w:r w:rsidR="00E40FC9">
                    <w:rPr>
                      <w:rFonts w:ascii="Helvetica" w:hAnsi="Helvetica"/>
                      <w:noProof/>
                      <w:color w:val="000000"/>
                      <w:sz w:val="18"/>
                      <w:szCs w:val="18"/>
                    </w:rPr>
                    <w:fldChar w:fldCharType="separate"/>
                  </w:r>
                  <w:r w:rsidR="00E40FC9">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E40FC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E40FC9"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78C20208" w14:textId="77777777" w:rsidR="006B7D6D" w:rsidRDefault="006B7D6D" w:rsidP="006B7D6D">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Post-Payment Verification for the Pandemic Delivery Service; Care Identity Service upgrade; NHS "Hints and Tips".</w:t>
                              </w:r>
                            </w:p>
                            <w:p w14:paraId="45D4E983" w14:textId="77777777" w:rsidR="006B7D6D" w:rsidRDefault="006B7D6D" w:rsidP="006B7D6D">
                              <w:pPr>
                                <w:jc w:val="both"/>
                                <w:rPr>
                                  <w:rFonts w:ascii="Tahoma" w:hAnsi="Tahoma" w:cs="Tahoma"/>
                                  <w:color w:val="303030"/>
                                  <w:sz w:val="21"/>
                                  <w:szCs w:val="21"/>
                                </w:rPr>
                              </w:pPr>
                              <w:r>
                                <w:rPr>
                                  <w:rFonts w:ascii="Tahoma" w:hAnsi="Tahoma" w:cs="Tahoma"/>
                                  <w:color w:val="303030"/>
                                  <w:sz w:val="21"/>
                                  <w:szCs w:val="21"/>
                                </w:rPr>
                                <w:t> </w:t>
                              </w:r>
                            </w:p>
                            <w:p w14:paraId="140F2321" w14:textId="77777777" w:rsidR="006B7D6D" w:rsidRPr="006B7D6D" w:rsidRDefault="006B7D6D" w:rsidP="006B7D6D">
                              <w:pPr>
                                <w:pStyle w:val="Heading3"/>
                                <w:spacing w:before="0" w:after="75" w:line="297" w:lineRule="atLeast"/>
                                <w:rPr>
                                  <w:rFonts w:ascii="Tahoma" w:hAnsi="Tahoma" w:cs="Tahoma"/>
                                  <w:b/>
                                  <w:bCs/>
                                  <w:color w:val="4E3487"/>
                                  <w:sz w:val="28"/>
                                  <w:szCs w:val="28"/>
                                </w:rPr>
                              </w:pPr>
                              <w:r w:rsidRPr="006B7D6D">
                                <w:rPr>
                                  <w:rFonts w:ascii="Tahoma" w:hAnsi="Tahoma" w:cs="Tahoma"/>
                                  <w:b/>
                                  <w:bCs/>
                                  <w:color w:val="4E3487"/>
                                  <w:sz w:val="28"/>
                                  <w:szCs w:val="28"/>
                                </w:rPr>
                                <w:t>Post-Payment Verification for the Pandemic Delivery Service</w:t>
                              </w:r>
                            </w:p>
                            <w:p w14:paraId="23C368FB" w14:textId="77777777" w:rsidR="006B7D6D" w:rsidRDefault="006B7D6D" w:rsidP="006B7D6D">
                              <w:pPr>
                                <w:pStyle w:val="NormalWeb"/>
                                <w:jc w:val="both"/>
                                <w:rPr>
                                  <w:rFonts w:ascii="Tahoma" w:hAnsi="Tahoma" w:cs="Tahoma"/>
                                  <w:color w:val="303030"/>
                                  <w:sz w:val="21"/>
                                  <w:szCs w:val="21"/>
                                </w:rPr>
                              </w:pPr>
                              <w:r>
                                <w:rPr>
                                  <w:rFonts w:ascii="Tahoma" w:hAnsi="Tahoma" w:cs="Tahoma"/>
                                  <w:color w:val="303030"/>
                                  <w:sz w:val="21"/>
                                  <w:szCs w:val="21"/>
                                </w:rPr>
                                <w:t>The NHS Business Services Authority (NHSBSA) has started undertaking a post-payment verification (PPV) process for the Advanced Service component of the Pandemic Delivery Service.</w:t>
                              </w:r>
                            </w:p>
                            <w:p w14:paraId="1A9F1D4F" w14:textId="77777777" w:rsidR="006B7D6D" w:rsidRDefault="006B7D6D" w:rsidP="006B7D6D">
                              <w:pPr>
                                <w:rPr>
                                  <w:rFonts w:ascii="Times New Roman" w:hAnsi="Times New Roman" w:cs="Times New Roman"/>
                                </w:rPr>
                              </w:pPr>
                              <w:r>
                                <w:rPr>
                                  <w:rFonts w:ascii="Tahoma" w:hAnsi="Tahoma" w:cs="Tahoma"/>
                                  <w:color w:val="303030"/>
                                  <w:sz w:val="21"/>
                                  <w:szCs w:val="21"/>
                                  <w:shd w:val="clear" w:color="auto" w:fill="FFFFFF"/>
                                </w:rPr>
                                <w:t>Over a period of nine months, the service helped clinically extremely vulnerable patients to shield, where a volunteer was not available to collect medicines on their behalf. Data on the delivery service indicates that over 8,000 pharmacies provided the Advanced Service from its start until December 2020, at a cost of just under £15 million. Pharmacies were asked to maintain appropriate records to support claims and possible post-payment verification of those claims.</w:t>
                              </w:r>
                            </w:p>
                            <w:p w14:paraId="6534150C" w14:textId="77777777" w:rsidR="006B7D6D" w:rsidRDefault="006B7D6D" w:rsidP="006B7D6D">
                              <w:pPr>
                                <w:pStyle w:val="NormalWeb"/>
                                <w:jc w:val="both"/>
                                <w:rPr>
                                  <w:rFonts w:ascii="Tahoma" w:hAnsi="Tahoma" w:cs="Tahoma"/>
                                  <w:color w:val="303030"/>
                                  <w:sz w:val="21"/>
                                  <w:szCs w:val="21"/>
                                </w:rPr>
                              </w:pPr>
                              <w:r>
                                <w:rPr>
                                  <w:rFonts w:ascii="Tahoma" w:hAnsi="Tahoma" w:cs="Tahoma"/>
                                  <w:color w:val="303030"/>
                                  <w:sz w:val="21"/>
                                  <w:szCs w:val="21"/>
                                </w:rPr>
                                <w:t>While the vast majority of payment claims for this service were reasonable, a small number were higher than expected, and the NHSBSA, on behalf of NHS England and NHS Improvement (NHSE&amp;I), is in the process of writing to the 44 pharmacies identified to date, requesting evidence to support the payment claims that they submitted.</w:t>
                              </w:r>
                              <w:r>
                                <w:rPr>
                                  <w:rFonts w:ascii="Tahoma" w:hAnsi="Tahoma" w:cs="Tahoma"/>
                                  <w:color w:val="303030"/>
                                  <w:sz w:val="21"/>
                                  <w:szCs w:val="21"/>
                                </w:rPr>
                                <w:br/>
                              </w:r>
                              <w:r>
                                <w:rPr>
                                  <w:rFonts w:ascii="Tahoma" w:hAnsi="Tahoma" w:cs="Tahoma"/>
                                  <w:color w:val="303030"/>
                                  <w:sz w:val="21"/>
                                  <w:szCs w:val="21"/>
                                </w:rPr>
                                <w:br/>
                                <w:t>PSNC has been consulted on the verification process and has sought to ensure that it is appropriately targeted, proportionate, and fair to those contractors asked to provide records. This process is part of the wider post-payment verification (provider assurance) process for Advanced Service payments to community pharmacy.</w:t>
                              </w:r>
                            </w:p>
                            <w:p w14:paraId="1A1853CA" w14:textId="77777777" w:rsidR="006B7D6D" w:rsidRDefault="006B7D6D" w:rsidP="006B7D6D">
                              <w:pPr>
                                <w:rPr>
                                  <w:rFonts w:ascii="Times New Roman" w:hAnsi="Times New Roman" w:cs="Times New Roman"/>
                                </w:rPr>
                              </w:pPr>
                              <w:hyperlink r:id="rId9" w:tgtFrame="_blank" w:history="1">
                                <w:r>
                                  <w:rPr>
                                    <w:rStyle w:val="Hyperlink"/>
                                    <w:rFonts w:ascii="Tahoma" w:hAnsi="Tahoma" w:cs="Tahoma"/>
                                    <w:b/>
                                    <w:bCs/>
                                    <w:color w:val="4E3487"/>
                                    <w:sz w:val="21"/>
                                    <w:szCs w:val="21"/>
                                  </w:rPr>
                                  <w:t>Learn more about the PPV process</w:t>
                                </w:r>
                              </w:hyperlink>
                            </w:p>
                            <w:p w14:paraId="32532B79" w14:textId="77777777" w:rsidR="006B7D6D" w:rsidRPr="006B7D6D" w:rsidRDefault="006B7D6D" w:rsidP="006B7D6D">
                              <w:pPr>
                                <w:pStyle w:val="Heading3"/>
                                <w:spacing w:before="0" w:after="75" w:line="297" w:lineRule="atLeast"/>
                                <w:rPr>
                                  <w:rFonts w:ascii="Tahoma" w:hAnsi="Tahoma" w:cs="Tahoma"/>
                                  <w:b/>
                                  <w:bCs/>
                                  <w:color w:val="4E3487"/>
                                </w:rPr>
                              </w:pPr>
                              <w:r>
                                <w:rPr>
                                  <w:rFonts w:ascii="Tahoma" w:hAnsi="Tahoma" w:cs="Tahoma"/>
                                  <w:color w:val="4E3487"/>
                                </w:rPr>
                                <w:br/>
                              </w:r>
                              <w:r w:rsidRPr="006B7D6D">
                                <w:rPr>
                                  <w:rFonts w:ascii="Tahoma" w:hAnsi="Tahoma" w:cs="Tahoma"/>
                                  <w:b/>
                                  <w:bCs/>
                                  <w:color w:val="4E3487"/>
                                  <w:sz w:val="28"/>
                                  <w:szCs w:val="28"/>
                                </w:rPr>
                                <w:t>Care Identity Service (CIS) upgrade</w:t>
                              </w:r>
                            </w:p>
                            <w:p w14:paraId="3BB7988C" w14:textId="77777777" w:rsidR="006B7D6D" w:rsidRDefault="006B7D6D" w:rsidP="006B7D6D">
                              <w:pPr>
                                <w:pStyle w:val="NormalWeb"/>
                                <w:jc w:val="both"/>
                                <w:rPr>
                                  <w:rFonts w:ascii="Tahoma" w:hAnsi="Tahoma" w:cs="Tahoma"/>
                                  <w:color w:val="303030"/>
                                  <w:sz w:val="21"/>
                                  <w:szCs w:val="21"/>
                                </w:rPr>
                              </w:pPr>
                              <w:r>
                                <w:rPr>
                                  <w:rFonts w:ascii="Tahoma" w:hAnsi="Tahoma" w:cs="Tahoma"/>
                                  <w:color w:val="303030"/>
                                  <w:sz w:val="21"/>
                                  <w:szCs w:val="21"/>
                                </w:rPr>
                                <w:t>The CIS is the national online system for managing NHS Smartcards. The CIS will soon be moving to an online cloud-based environment to improve system performance and user experience.</w:t>
                              </w:r>
                            </w:p>
                            <w:p w14:paraId="0D6419AA" w14:textId="77777777" w:rsidR="006B7D6D" w:rsidRDefault="006B7D6D" w:rsidP="006B7D6D">
                              <w:pPr>
                                <w:pStyle w:val="NormalWeb"/>
                                <w:jc w:val="both"/>
                                <w:rPr>
                                  <w:rFonts w:ascii="Tahoma" w:hAnsi="Tahoma" w:cs="Tahoma"/>
                                  <w:color w:val="303030"/>
                                  <w:sz w:val="21"/>
                                  <w:szCs w:val="21"/>
                                </w:rPr>
                              </w:pPr>
                              <w:r>
                                <w:rPr>
                                  <w:rFonts w:ascii="Tahoma" w:hAnsi="Tahoma" w:cs="Tahoma"/>
                                  <w:color w:val="303030"/>
                                  <w:sz w:val="21"/>
                                  <w:szCs w:val="21"/>
                                </w:rPr>
                                <w:t>NHS Digital has confirmed that the upgrade is scheduled to be carried out from 6.30pm on Friday 7th May through to 8.00pm on Monday 10th May 2021. Subsequently, some parts of the CIS may not run as expected and, if you wish to apply changes to your Smartcard using CIS, you should do so either before or after the upgrade. EPS and Smartcard authentication in PMR systems will continue to run as usual. </w:t>
                              </w:r>
                            </w:p>
                            <w:p w14:paraId="54394A53" w14:textId="77777777" w:rsidR="006B7D6D" w:rsidRDefault="006B7D6D" w:rsidP="006B7D6D">
                              <w:pPr>
                                <w:pStyle w:val="NormalWeb"/>
                                <w:jc w:val="both"/>
                                <w:rPr>
                                  <w:rFonts w:ascii="Tahoma" w:hAnsi="Tahoma" w:cs="Tahoma"/>
                                  <w:color w:val="303030"/>
                                  <w:sz w:val="21"/>
                                  <w:szCs w:val="21"/>
                                </w:rPr>
                              </w:pPr>
                              <w:r>
                                <w:rPr>
                                  <w:rFonts w:ascii="Tahoma" w:hAnsi="Tahoma" w:cs="Tahoma"/>
                                  <w:color w:val="303030"/>
                                  <w:sz w:val="21"/>
                                  <w:szCs w:val="21"/>
                                </w:rPr>
                                <w:lastRenderedPageBreak/>
                                <w:t>If you experience a unique EPS issue with your Smartcard – flag this to your system supplier by email using the </w:t>
                              </w:r>
                              <w:hyperlink r:id="rId10" w:tgtFrame="_blank" w:history="1">
                                <w:r>
                                  <w:rPr>
                                    <w:rStyle w:val="Hyperlink"/>
                                    <w:rFonts w:ascii="Tahoma" w:hAnsi="Tahoma" w:cs="Tahoma"/>
                                    <w:b/>
                                    <w:bCs/>
                                    <w:color w:val="4E3487"/>
                                    <w:sz w:val="21"/>
                                    <w:szCs w:val="21"/>
                                  </w:rPr>
                                  <w:t>EPS escalation routes</w:t>
                                </w:r>
                              </w:hyperlink>
                              <w:r>
                                <w:rPr>
                                  <w:rFonts w:ascii="Tahoma" w:hAnsi="Tahoma" w:cs="Tahoma"/>
                                  <w:color w:val="303030"/>
                                  <w:sz w:val="21"/>
                                  <w:szCs w:val="21"/>
                                </w:rPr>
                                <w:t>.</w:t>
                              </w:r>
                            </w:p>
                            <w:p w14:paraId="34E53B81" w14:textId="77777777" w:rsidR="006B7D6D" w:rsidRDefault="006B7D6D" w:rsidP="006B7D6D">
                              <w:pPr>
                                <w:rPr>
                                  <w:rFonts w:ascii="Times New Roman" w:hAnsi="Times New Roman" w:cs="Times New Roman"/>
                                </w:rPr>
                              </w:pPr>
                              <w:r>
                                <w:rPr>
                                  <w:rFonts w:ascii="Tahoma" w:hAnsi="Tahoma" w:cs="Tahoma"/>
                                  <w:color w:val="303030"/>
                                  <w:sz w:val="21"/>
                                  <w:szCs w:val="21"/>
                                  <w:shd w:val="clear" w:color="auto" w:fill="FFFFFF"/>
                                </w:rPr>
                                <w:t>Find out more about </w:t>
                              </w:r>
                              <w:hyperlink r:id="rId11" w:tgtFrame="_blank" w:history="1">
                                <w:r>
                                  <w:rPr>
                                    <w:rStyle w:val="Hyperlink"/>
                                    <w:rFonts w:ascii="Tahoma" w:hAnsi="Tahoma" w:cs="Tahoma"/>
                                    <w:b/>
                                    <w:bCs/>
                                    <w:color w:val="4E3487"/>
                                    <w:sz w:val="21"/>
                                    <w:szCs w:val="21"/>
                                  </w:rPr>
                                  <w:t>Smartcards</w:t>
                                </w:r>
                              </w:hyperlink>
                              <w:r>
                                <w:rPr>
                                  <w:rFonts w:ascii="Tahoma" w:hAnsi="Tahoma" w:cs="Tahoma"/>
                                  <w:color w:val="303030"/>
                                  <w:sz w:val="21"/>
                                  <w:szCs w:val="21"/>
                                  <w:shd w:val="clear" w:color="auto" w:fill="FFFFFF"/>
                                </w:rPr>
                                <w:t> and </w:t>
                              </w:r>
                              <w:hyperlink r:id="rId12" w:tgtFrame="_blank" w:history="1">
                                <w:r>
                                  <w:rPr>
                                    <w:rStyle w:val="Hyperlink"/>
                                    <w:rFonts w:ascii="Tahoma" w:hAnsi="Tahoma" w:cs="Tahoma"/>
                                    <w:b/>
                                    <w:bCs/>
                                    <w:color w:val="4E3487"/>
                                    <w:sz w:val="21"/>
                                    <w:szCs w:val="21"/>
                                  </w:rPr>
                                  <w:t>CIS</w:t>
                                </w:r>
                              </w:hyperlink>
                              <w:r>
                                <w:rPr>
                                  <w:rFonts w:ascii="Tahoma" w:hAnsi="Tahoma" w:cs="Tahoma"/>
                                  <w:color w:val="303030"/>
                                  <w:sz w:val="21"/>
                                  <w:szCs w:val="21"/>
                                  <w:shd w:val="clear" w:color="auto" w:fill="FFFFFF"/>
                                </w:rPr>
                                <w:t>.</w:t>
                              </w:r>
                            </w:p>
                            <w:p w14:paraId="5928862C" w14:textId="77777777" w:rsidR="006B7D6D" w:rsidRPr="006B7D6D" w:rsidRDefault="006B7D6D" w:rsidP="006B7D6D">
                              <w:pPr>
                                <w:pStyle w:val="Heading3"/>
                                <w:spacing w:before="0" w:after="75" w:line="297" w:lineRule="atLeast"/>
                                <w:rPr>
                                  <w:rFonts w:ascii="Tahoma" w:hAnsi="Tahoma" w:cs="Tahoma"/>
                                  <w:b/>
                                  <w:bCs/>
                                  <w:color w:val="4E3487"/>
                                </w:rPr>
                              </w:pPr>
                              <w:r>
                                <w:rPr>
                                  <w:rFonts w:ascii="Tahoma" w:hAnsi="Tahoma" w:cs="Tahoma"/>
                                  <w:color w:val="4E3487"/>
                                </w:rPr>
                                <w:br/>
                              </w:r>
                              <w:r w:rsidRPr="006B7D6D">
                                <w:rPr>
                                  <w:rFonts w:ascii="Tahoma" w:hAnsi="Tahoma" w:cs="Tahoma"/>
                                  <w:b/>
                                  <w:bCs/>
                                  <w:color w:val="4E3487"/>
                                  <w:sz w:val="28"/>
                                  <w:szCs w:val="28"/>
                                </w:rPr>
                                <w:t>New issue of NHS "Hints and Tips"</w:t>
                              </w:r>
                            </w:p>
                            <w:p w14:paraId="2D7EDC42" w14:textId="3E146189" w:rsidR="00071CFB" w:rsidRPr="006B7D6D" w:rsidRDefault="006B7D6D" w:rsidP="006B7D6D">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NHS Prescription Services produces a quarterly newsletter called "Hints &amp; Tips for dispensing contractors". The latest edition contains some helpful information and advice on recent Serious Shortage Protocols (SSPs), endorsing free of charge items such as contraceptives, and more.</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To view the current and previous issues of "Hints &amp; Tips" click </w:t>
                              </w:r>
                              <w:hyperlink r:id="rId13" w:tgtFrame="_blank" w:history="1">
                                <w:r>
                                  <w:rPr>
                                    <w:rStyle w:val="Hyperlink"/>
                                    <w:rFonts w:ascii="Tahoma" w:hAnsi="Tahoma" w:cs="Tahoma"/>
                                    <w:b/>
                                    <w:bCs/>
                                    <w:color w:val="4E3487"/>
                                    <w:sz w:val="21"/>
                                    <w:szCs w:val="21"/>
                                  </w:rPr>
                                  <w:t>here</w:t>
                                </w:r>
                              </w:hyperlink>
                              <w:r>
                                <w:rPr>
                                  <w:rFonts w:ascii="Tahoma" w:hAnsi="Tahoma" w:cs="Tahoma"/>
                                  <w:color w:val="303030"/>
                                  <w:sz w:val="21"/>
                                  <w:szCs w:val="21"/>
                                  <w:shd w:val="clear" w:color="auto" w:fill="FFFFFF"/>
                                </w:rPr>
                                <w:t>.</w:t>
                              </w:r>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4"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3"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E40FC9"/>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40FC9"/>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acf5a4a9f0&amp;e=12757307a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psnc.us7.list-manage.com/track/click?u=86d41ab7fa4c7c2c5d7210782&amp;id=b774bcfe37&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457c30e4ef&amp;e=12757307a1" TargetMode="External"/><Relationship Id="rId17" Type="http://schemas.openxmlformats.org/officeDocument/2006/relationships/hyperlink" Target="https://psnc.us7.list-manage.com/track/click?u=86d41ab7fa4c7c2c5d7210782&amp;id=9f085df2d1&amp;e=d3dc5e7fb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605fd8b7c0&amp;e=12757307a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0719e3152f&amp;e=d3dc5e7fbd" TargetMode="External"/><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c369a4b0ac&amp;e=12757307a1" TargetMode="External"/><Relationship Id="rId19" Type="http://schemas.openxmlformats.org/officeDocument/2006/relationships/hyperlink" Target="https://psnc.us7.list-manage.com/track/click?u=86d41ab7fa4c7c2c5d7210782&amp;id=3f47eea43b&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2bd9134e3&amp;e=12757307a1" TargetMode="External"/><Relationship Id="rId14" Type="http://schemas.openxmlformats.org/officeDocument/2006/relationships/hyperlink" Target="https://psnc.us7.list-manage.com/track/click?u=86d41ab7fa4c7c2c5d7210782&amp;id=b671e78d7a&amp;e=d3dc5e7fbd"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3040</Words>
  <Characters>17333</Characters>
  <Application>Microsoft Office Word</Application>
  <DocSecurity>2</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2021-05-07T09:35:00Z</dcterms:created>
  <dcterms:modified xsi:type="dcterms:W3CDTF">2021-05-07T09:35:00Z</dcterms:modified>
</cp:coreProperties>
</file>