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61118" w14:paraId="7318B312" w14:textId="77777777" w:rsidTr="00C6111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61118" w14:paraId="1AF26CD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61118" w14:paraId="770C494E" w14:textId="77777777">
                    <w:trPr>
                      <w:tblCellSpacing w:w="0" w:type="dxa"/>
                      <w:jc w:val="center"/>
                    </w:trPr>
                    <w:tc>
                      <w:tcPr>
                        <w:tcW w:w="3000" w:type="dxa"/>
                        <w:hideMark/>
                      </w:tcPr>
                      <w:p w14:paraId="6DFBFC55" w14:textId="4263C2EE" w:rsidR="00C61118" w:rsidRDefault="00C61118" w:rsidP="00C61118">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D651C10" w14:textId="77777777" w:rsidR="00C61118" w:rsidRDefault="00C61118">
                  <w:pPr>
                    <w:jc w:val="center"/>
                    <w:rPr>
                      <w:rFonts w:ascii="Times New Roman" w:eastAsia="Times New Roman" w:hAnsi="Times New Roman" w:cs="Times New Roman"/>
                      <w:sz w:val="20"/>
                      <w:szCs w:val="20"/>
                    </w:rPr>
                  </w:pPr>
                </w:p>
              </w:tc>
            </w:tr>
            <w:tr w:rsidR="00C61118" w14:paraId="77AB943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61118" w14:paraId="046DD11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0A4FC3E" w14:textId="650E41A7" w:rsidR="00C61118" w:rsidRDefault="00C61118">
                        <w:pPr>
                          <w:jc w:val="center"/>
                          <w:rPr>
                            <w:rFonts w:eastAsia="Times New Roman"/>
                          </w:rPr>
                        </w:pPr>
                        <w:r>
                          <w:rPr>
                            <w:rFonts w:eastAsia="Times New Roman"/>
                            <w:noProof/>
                          </w:rPr>
                          <w:drawing>
                            <wp:inline distT="0" distB="0" distL="0" distR="0" wp14:anchorId="11856CFE" wp14:editId="54B2A91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61118" w14:paraId="78063E06" w14:textId="77777777">
                    <w:trPr>
                      <w:tblCellSpacing w:w="0" w:type="dxa"/>
                    </w:trPr>
                    <w:tc>
                      <w:tcPr>
                        <w:tcW w:w="0" w:type="auto"/>
                        <w:vMerge/>
                        <w:tcBorders>
                          <w:top w:val="nil"/>
                          <w:left w:val="nil"/>
                          <w:bottom w:val="single" w:sz="2" w:space="0" w:color="FFFFFF"/>
                          <w:right w:val="nil"/>
                        </w:tcBorders>
                        <w:vAlign w:val="center"/>
                        <w:hideMark/>
                      </w:tcPr>
                      <w:p w14:paraId="03FBD8F2" w14:textId="77777777" w:rsidR="00C61118" w:rsidRDefault="00C61118">
                        <w:pPr>
                          <w:rPr>
                            <w:rFonts w:eastAsia="Times New Roman"/>
                          </w:rPr>
                        </w:pPr>
                      </w:p>
                    </w:tc>
                    <w:tc>
                      <w:tcPr>
                        <w:tcW w:w="3450" w:type="dxa"/>
                        <w:tcBorders>
                          <w:top w:val="nil"/>
                          <w:left w:val="nil"/>
                          <w:bottom w:val="nil"/>
                          <w:right w:val="nil"/>
                        </w:tcBorders>
                        <w:vAlign w:val="center"/>
                        <w:hideMark/>
                      </w:tcPr>
                      <w:p w14:paraId="6FBE711C" w14:textId="77777777" w:rsidR="00C61118" w:rsidRDefault="00C61118">
                        <w:pPr>
                          <w:pStyle w:val="Heading1"/>
                          <w:rPr>
                            <w:rFonts w:eastAsia="Times New Roman"/>
                          </w:rPr>
                        </w:pPr>
                        <w:r>
                          <w:rPr>
                            <w:rFonts w:eastAsia="Times New Roman"/>
                          </w:rPr>
                          <w:t>Daily Update </w:t>
                        </w:r>
                      </w:p>
                    </w:tc>
                  </w:tr>
                  <w:tr w:rsidR="00C61118" w14:paraId="7EDB1E95" w14:textId="77777777">
                    <w:trPr>
                      <w:tblCellSpacing w:w="0" w:type="dxa"/>
                    </w:trPr>
                    <w:tc>
                      <w:tcPr>
                        <w:tcW w:w="0" w:type="auto"/>
                        <w:vMerge/>
                        <w:tcBorders>
                          <w:top w:val="nil"/>
                          <w:left w:val="nil"/>
                          <w:bottom w:val="single" w:sz="2" w:space="0" w:color="FFFFFF"/>
                          <w:right w:val="nil"/>
                        </w:tcBorders>
                        <w:vAlign w:val="center"/>
                        <w:hideMark/>
                      </w:tcPr>
                      <w:p w14:paraId="228659F4" w14:textId="77777777" w:rsidR="00C61118" w:rsidRDefault="00C6111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7359D2A" w14:textId="77777777" w:rsidR="00C61118" w:rsidRDefault="00C61118">
                        <w:pPr>
                          <w:pStyle w:val="Heading2"/>
                          <w:rPr>
                            <w:rFonts w:eastAsia="Times New Roman"/>
                            <w:color w:val="93378A"/>
                          </w:rPr>
                        </w:pPr>
                        <w:r>
                          <w:rPr>
                            <w:rFonts w:eastAsia="Times New Roman"/>
                            <w:color w:val="93378A"/>
                          </w:rPr>
                          <w:t>Tuesday 22nd June 2021</w:t>
                        </w:r>
                      </w:p>
                    </w:tc>
                  </w:tr>
                </w:tbl>
                <w:p w14:paraId="37314186" w14:textId="77777777" w:rsidR="00C61118" w:rsidRDefault="00C61118">
                  <w:pPr>
                    <w:rPr>
                      <w:rFonts w:ascii="Times New Roman" w:eastAsia="Times New Roman" w:hAnsi="Times New Roman" w:cs="Times New Roman"/>
                      <w:sz w:val="20"/>
                      <w:szCs w:val="20"/>
                    </w:rPr>
                  </w:pPr>
                </w:p>
              </w:tc>
            </w:tr>
            <w:tr w:rsidR="00C61118" w14:paraId="1AA944C5" w14:textId="77777777">
              <w:tblPrEx>
                <w:shd w:val="clear" w:color="auto" w:fill="auto"/>
              </w:tblPrEx>
              <w:trPr>
                <w:tblCellSpacing w:w="0" w:type="dxa"/>
                <w:jc w:val="center"/>
              </w:trPr>
              <w:tc>
                <w:tcPr>
                  <w:tcW w:w="9000" w:type="dxa"/>
                  <w:hideMark/>
                </w:tcPr>
                <w:p w14:paraId="0C61AFFD" w14:textId="648321B6" w:rsidR="00C61118" w:rsidRDefault="00C61118">
                  <w:pPr>
                    <w:rPr>
                      <w:rFonts w:eastAsia="Times New Roman"/>
                    </w:rPr>
                  </w:pPr>
                  <w:r>
                    <w:rPr>
                      <w:rFonts w:eastAsia="Times New Roman"/>
                      <w:noProof/>
                    </w:rPr>
                    <w:drawing>
                      <wp:inline distT="0" distB="0" distL="0" distR="0" wp14:anchorId="46B311BB" wp14:editId="6E87A2F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61118" w14:paraId="639BC40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61118" w14:paraId="07B178E5" w14:textId="77777777">
                    <w:trPr>
                      <w:trHeight w:val="150"/>
                      <w:tblCellSpacing w:w="15" w:type="dxa"/>
                      <w:jc w:val="center"/>
                    </w:trPr>
                    <w:tc>
                      <w:tcPr>
                        <w:tcW w:w="150" w:type="dxa"/>
                        <w:vAlign w:val="center"/>
                        <w:hideMark/>
                      </w:tcPr>
                      <w:p w14:paraId="6ABFF475" w14:textId="77777777" w:rsidR="00C61118" w:rsidRDefault="00C61118">
                        <w:pPr>
                          <w:rPr>
                            <w:rFonts w:eastAsia="Times New Roman"/>
                          </w:rPr>
                        </w:pPr>
                      </w:p>
                    </w:tc>
                    <w:tc>
                      <w:tcPr>
                        <w:tcW w:w="8700" w:type="dxa"/>
                        <w:vAlign w:val="center"/>
                        <w:hideMark/>
                      </w:tcPr>
                      <w:p w14:paraId="611223DD" w14:textId="77777777" w:rsidR="00C61118" w:rsidRDefault="00C61118">
                        <w:pPr>
                          <w:rPr>
                            <w:rFonts w:ascii="Times New Roman" w:eastAsia="Times New Roman" w:hAnsi="Times New Roman" w:cs="Times New Roman"/>
                            <w:sz w:val="20"/>
                            <w:szCs w:val="20"/>
                          </w:rPr>
                        </w:pPr>
                      </w:p>
                    </w:tc>
                    <w:tc>
                      <w:tcPr>
                        <w:tcW w:w="150" w:type="dxa"/>
                        <w:vAlign w:val="center"/>
                        <w:hideMark/>
                      </w:tcPr>
                      <w:p w14:paraId="0FF6BCB1" w14:textId="77777777" w:rsidR="00C61118" w:rsidRDefault="00C61118">
                        <w:pPr>
                          <w:rPr>
                            <w:rFonts w:ascii="Times New Roman" w:eastAsia="Times New Roman" w:hAnsi="Times New Roman" w:cs="Times New Roman"/>
                            <w:sz w:val="20"/>
                            <w:szCs w:val="20"/>
                          </w:rPr>
                        </w:pPr>
                      </w:p>
                    </w:tc>
                  </w:tr>
                  <w:tr w:rsidR="00C61118" w14:paraId="33964AA2" w14:textId="77777777">
                    <w:trPr>
                      <w:tblCellSpacing w:w="15" w:type="dxa"/>
                      <w:jc w:val="center"/>
                    </w:trPr>
                    <w:tc>
                      <w:tcPr>
                        <w:tcW w:w="150" w:type="dxa"/>
                        <w:vAlign w:val="center"/>
                        <w:hideMark/>
                      </w:tcPr>
                      <w:p w14:paraId="3E778B36" w14:textId="77777777" w:rsidR="00C61118" w:rsidRDefault="00C61118">
                        <w:pPr>
                          <w:rPr>
                            <w:rFonts w:ascii="Times New Roman" w:eastAsia="Times New Roman" w:hAnsi="Times New Roman" w:cs="Times New Roman"/>
                            <w:sz w:val="20"/>
                            <w:szCs w:val="20"/>
                          </w:rPr>
                        </w:pPr>
                      </w:p>
                    </w:tc>
                    <w:tc>
                      <w:tcPr>
                        <w:tcW w:w="8700" w:type="dxa"/>
                        <w:vAlign w:val="center"/>
                        <w:hideMark/>
                      </w:tcPr>
                      <w:p w14:paraId="0B245BEE" w14:textId="77777777" w:rsidR="00C61118" w:rsidRDefault="00C61118">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0CE76D9D" w14:textId="77777777" w:rsidR="00C61118" w:rsidRDefault="00C6111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EBC1B62">
                            <v:rect id="_x0000_i1032" style="width:468pt;height:1.5pt" o:hralign="center" o:hrstd="t" o:hr="t" fillcolor="#a0a0a0" stroked="f"/>
                          </w:pict>
                        </w:r>
                      </w:p>
                      <w:p w14:paraId="2564E3B3" w14:textId="77777777" w:rsidR="00C61118" w:rsidRDefault="00C61118" w:rsidP="00C61118">
                        <w:pPr>
                          <w:pStyle w:val="Heading2"/>
                          <w:spacing w:after="0" w:line="240" w:lineRule="auto"/>
                          <w:rPr>
                            <w:rFonts w:eastAsia="Times New Roman"/>
                          </w:rPr>
                        </w:pPr>
                        <w:r>
                          <w:rPr>
                            <w:rFonts w:eastAsia="Times New Roman"/>
                          </w:rPr>
                          <w:t>In today's update: HEE workforce survey; GP CPCS payment deadline; NHS website pharmacy profile research.</w:t>
                        </w:r>
                      </w:p>
                      <w:p w14:paraId="2A7FFE54" w14:textId="77777777" w:rsidR="00C61118" w:rsidRDefault="00C61118" w:rsidP="00C61118">
                        <w:pPr>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1736061">
                            <v:rect id="_x0000_i1033" style="width:468pt;height:1.5pt" o:hralign="center" o:hrstd="t" o:hr="t" fillcolor="#a0a0a0" stroked="f"/>
                          </w:pict>
                        </w:r>
                      </w:p>
                      <w:p w14:paraId="0B4CAE1E" w14:textId="77777777" w:rsidR="00C61118" w:rsidRDefault="00C61118">
                        <w:pPr>
                          <w:pStyle w:val="Heading3"/>
                          <w:rPr>
                            <w:rFonts w:eastAsia="Times New Roman"/>
                          </w:rPr>
                        </w:pPr>
                        <w:r>
                          <w:rPr>
                            <w:rFonts w:eastAsia="Times New Roman"/>
                          </w:rPr>
                          <w:t xml:space="preserve">HEE workforce survey deadline </w:t>
                        </w:r>
                        <w:proofErr w:type="gramStart"/>
                        <w:r>
                          <w:rPr>
                            <w:rFonts w:eastAsia="Times New Roman"/>
                          </w:rPr>
                          <w:t>extended</w:t>
                        </w:r>
                        <w:proofErr w:type="gramEnd"/>
                      </w:p>
                      <w:p w14:paraId="17C060F6" w14:textId="083A0D11" w:rsidR="00C61118" w:rsidRDefault="00C61118" w:rsidP="00C611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Health Education England (HEE) has extended the deadline for completing the Community Pharmacy Workforce Survey 2021, meaning contractors now have until </w:t>
                        </w:r>
                        <w:r>
                          <w:rPr>
                            <w:rStyle w:val="Strong"/>
                            <w:rFonts w:ascii="Tahoma" w:eastAsia="Times New Roman" w:hAnsi="Tahoma" w:cs="Tahoma"/>
                            <w:color w:val="303030"/>
                            <w:sz w:val="21"/>
                            <w:szCs w:val="21"/>
                          </w:rPr>
                          <w:t>11.59pm on Friday 25th June 2021 ​</w:t>
                        </w:r>
                        <w:r>
                          <w:rPr>
                            <w:rFonts w:ascii="Tahoma" w:eastAsia="Times New Roman" w:hAnsi="Tahoma" w:cs="Tahoma"/>
                            <w:color w:val="303030"/>
                            <w:sz w:val="21"/>
                            <w:szCs w:val="21"/>
                          </w:rPr>
                          <w:t>to complete the survey. Note, this is a firm deadline and there will be no further extensions.</w:t>
                        </w:r>
                        <w:r>
                          <w:rPr>
                            <w:rFonts w:ascii="Tahoma" w:eastAsia="Times New Roman" w:hAnsi="Tahoma" w:cs="Tahoma"/>
                            <w:color w:val="303030"/>
                            <w:sz w:val="21"/>
                            <w:szCs w:val="21"/>
                          </w:rPr>
                          <w:br/>
                        </w:r>
                        <w:r>
                          <w:rPr>
                            <w:rFonts w:ascii="Tahoma" w:eastAsia="Times New Roman" w:hAnsi="Tahoma" w:cs="Tahoma"/>
                            <w:color w:val="303030"/>
                            <w:sz w:val="21"/>
                            <w:szCs w:val="21"/>
                          </w:rPr>
                          <w:br/>
                          <w:t>Data from previous workforce surveys has informed local and national negotiations on the planning, funding and development of community pharmacy services across England.</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All</w:t>
                        </w:r>
                        <w:r>
                          <w:rPr>
                            <w:rFonts w:ascii="Tahoma" w:eastAsia="Times New Roman" w:hAnsi="Tahoma" w:cs="Tahoma"/>
                            <w:color w:val="303030"/>
                            <w:sz w:val="21"/>
                            <w:szCs w:val="21"/>
                          </w:rPr>
                          <w:t> community pharmacy contractors are strongly encouraged to complete the survey to feed into NHS workforce planning.</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Complete the HEE workforce survey</w:t>
                          </w:r>
                        </w:hyperlink>
                        <w:r>
                          <w:rPr>
                            <w:rFonts w:ascii="Tahoma" w:eastAsia="Times New Roman" w:hAnsi="Tahoma" w:cs="Tahoma"/>
                            <w:color w:val="303030"/>
                            <w:sz w:val="21"/>
                            <w:szCs w:val="21"/>
                          </w:rPr>
                          <w:t xml:space="preserve"> </w:t>
                        </w:r>
                      </w:p>
                      <w:p w14:paraId="4A54695A" w14:textId="77777777" w:rsidR="00C61118" w:rsidRDefault="00C6111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2456B03">
                            <v:rect id="_x0000_i1034" style="width:468pt;height:1.5pt" o:hralign="center" o:hrstd="t" o:hr="t" fillcolor="#a0a0a0" stroked="f"/>
                          </w:pict>
                        </w:r>
                      </w:p>
                      <w:p w14:paraId="235A6D13" w14:textId="77777777" w:rsidR="00C61118" w:rsidRDefault="00C61118">
                        <w:pPr>
                          <w:pStyle w:val="Heading3"/>
                          <w:rPr>
                            <w:rFonts w:eastAsia="Times New Roman"/>
                          </w:rPr>
                        </w:pPr>
                        <w:r>
                          <w:rPr>
                            <w:rFonts w:eastAsia="Times New Roman"/>
                          </w:rPr>
                          <w:t xml:space="preserve">Deadline approaching for claiming GP CPCS engagement and set up </w:t>
                        </w:r>
                        <w:proofErr w:type="gramStart"/>
                        <w:r>
                          <w:rPr>
                            <w:rFonts w:eastAsia="Times New Roman"/>
                          </w:rPr>
                          <w:t>payment</w:t>
                        </w:r>
                        <w:proofErr w:type="gramEnd"/>
                      </w:p>
                      <w:p w14:paraId="5F174166" w14:textId="3613E82B" w:rsidR="00C61118" w:rsidRDefault="00C61118" w:rsidP="00C611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in order to claim the £300 engagement and set up payment for the GP Community Pharmacist Consultation Service (GP CPCS), the activities listed in Annex F of the CPCS service specification </w:t>
                        </w:r>
                        <w:r>
                          <w:rPr>
                            <w:rStyle w:val="Strong"/>
                            <w:rFonts w:ascii="Tahoma" w:eastAsia="Times New Roman" w:hAnsi="Tahoma" w:cs="Tahoma"/>
                            <w:color w:val="303030"/>
                            <w:sz w:val="21"/>
                            <w:szCs w:val="21"/>
                          </w:rPr>
                          <w:t>must be completed by next Wednesday, 30th June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Payment can be claimed until 11.59 on 5th July 2021 using the Manage Your Service (MYS) platform, and contractors should retain documented evidence of completion of these activities for Post Payment Verification purposes.​​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Find out more about the GP CPCS service requirements</w:t>
                          </w:r>
                        </w:hyperlink>
                        <w:r>
                          <w:rPr>
                            <w:rFonts w:ascii="Tahoma" w:eastAsia="Times New Roman" w:hAnsi="Tahoma" w:cs="Tahoma"/>
                            <w:color w:val="303030"/>
                            <w:sz w:val="21"/>
                            <w:szCs w:val="21"/>
                          </w:rPr>
                          <w:t xml:space="preserve"> </w:t>
                        </w:r>
                      </w:p>
                      <w:p w14:paraId="1A34DB8B" w14:textId="77777777" w:rsidR="00C61118" w:rsidRDefault="00C6111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C274301">
                            <v:rect id="_x0000_i1035" style="width:468pt;height:1.5pt" o:hralign="center" o:hrstd="t" o:hr="t" fillcolor="#a0a0a0" stroked="f"/>
                          </w:pict>
                        </w:r>
                      </w:p>
                      <w:p w14:paraId="78D73624" w14:textId="77777777" w:rsidR="00C61118" w:rsidRDefault="00C61118">
                        <w:pPr>
                          <w:pStyle w:val="Heading3"/>
                          <w:rPr>
                            <w:rFonts w:eastAsia="Times New Roman"/>
                          </w:rPr>
                        </w:pPr>
                        <w:r>
                          <w:rPr>
                            <w:rFonts w:eastAsia="Times New Roman"/>
                          </w:rPr>
                          <w:t xml:space="preserve">Take part in NHS website pharmacy profile </w:t>
                        </w:r>
                        <w:proofErr w:type="gramStart"/>
                        <w:r>
                          <w:rPr>
                            <w:rFonts w:eastAsia="Times New Roman"/>
                          </w:rPr>
                          <w:t>research</w:t>
                        </w:r>
                        <w:proofErr w:type="gramEnd"/>
                      </w:p>
                      <w:p w14:paraId="7344EA54" w14:textId="6EE3A240" w:rsidR="00C61118" w:rsidRDefault="00C61118" w:rsidP="00C611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Digital is inviting pharmacy teams to feed into its work to update the NHS website pharmacy profile editor. Participants will take part in short research interviews by video call at a mutually convenient time.</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NHS Digital would especially like to hear from those who do not typically adopt digital technologies early as this will better enable them to make the profile editor easy to use for all pharmacy staff.​​ </w:t>
                        </w:r>
                        <w:r>
                          <w:rPr>
                            <w:rFonts w:ascii="Tahoma" w:eastAsia="Times New Roman" w:hAnsi="Tahoma" w:cs="Tahoma"/>
                            <w:color w:val="303030"/>
                            <w:sz w:val="21"/>
                            <w:szCs w:val="21"/>
                          </w:rPr>
                          <w:br/>
                        </w:r>
                        <w:r>
                          <w:rPr>
                            <w:rFonts w:ascii="Tahoma" w:eastAsia="Times New Roman" w:hAnsi="Tahoma" w:cs="Tahoma"/>
                            <w:color w:val="303030"/>
                            <w:sz w:val="21"/>
                            <w:szCs w:val="21"/>
                          </w:rPr>
                          <w:br/>
                          <w:t>To volunteer to take part in one of these interviews or for more information, please contact </w:t>
                        </w:r>
                        <w:hyperlink r:id="rId10" w:history="1">
                          <w:r>
                            <w:rPr>
                              <w:rStyle w:val="Strong"/>
                              <w:rFonts w:ascii="Tahoma" w:eastAsia="Times New Roman" w:hAnsi="Tahoma" w:cs="Tahoma"/>
                              <w:color w:val="4E3487"/>
                              <w:sz w:val="21"/>
                              <w:szCs w:val="21"/>
                            </w:rPr>
                            <w:t>it@psnc.org.uk</w:t>
                          </w:r>
                        </w:hyperlink>
                        <w:r>
                          <w:rPr>
                            <w:rFonts w:ascii="Tahoma" w:eastAsia="Times New Roman" w:hAnsi="Tahoma" w:cs="Tahoma"/>
                            <w:color w:val="303030"/>
                            <w:sz w:val="21"/>
                            <w:szCs w:val="21"/>
                          </w:rPr>
                          <w:t>, who can provide additional information or connect you to the NHS website research team.</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how to take part in the research</w:t>
                          </w:r>
                        </w:hyperlink>
                      </w:p>
                    </w:tc>
                    <w:tc>
                      <w:tcPr>
                        <w:tcW w:w="150" w:type="dxa"/>
                        <w:vAlign w:val="center"/>
                        <w:hideMark/>
                      </w:tcPr>
                      <w:p w14:paraId="35DE7E0B" w14:textId="77777777" w:rsidR="00C61118" w:rsidRDefault="00C61118">
                        <w:pPr>
                          <w:rPr>
                            <w:rFonts w:ascii="Tahoma" w:eastAsia="Times New Roman" w:hAnsi="Tahoma" w:cs="Tahoma"/>
                            <w:color w:val="303030"/>
                            <w:sz w:val="21"/>
                            <w:szCs w:val="21"/>
                          </w:rPr>
                        </w:pPr>
                      </w:p>
                    </w:tc>
                  </w:tr>
                  <w:tr w:rsidR="00C61118" w14:paraId="12124407" w14:textId="77777777">
                    <w:trPr>
                      <w:trHeight w:val="150"/>
                      <w:tblCellSpacing w:w="15" w:type="dxa"/>
                      <w:jc w:val="center"/>
                    </w:trPr>
                    <w:tc>
                      <w:tcPr>
                        <w:tcW w:w="150" w:type="dxa"/>
                        <w:vAlign w:val="center"/>
                        <w:hideMark/>
                      </w:tcPr>
                      <w:p w14:paraId="27B9EC24" w14:textId="77777777" w:rsidR="00C61118" w:rsidRDefault="00C61118">
                        <w:pPr>
                          <w:rPr>
                            <w:rFonts w:ascii="Times New Roman" w:eastAsia="Times New Roman" w:hAnsi="Times New Roman" w:cs="Times New Roman"/>
                            <w:sz w:val="20"/>
                            <w:szCs w:val="20"/>
                          </w:rPr>
                        </w:pPr>
                      </w:p>
                    </w:tc>
                    <w:tc>
                      <w:tcPr>
                        <w:tcW w:w="8700" w:type="dxa"/>
                        <w:vAlign w:val="center"/>
                        <w:hideMark/>
                      </w:tcPr>
                      <w:p w14:paraId="22A4D8E7" w14:textId="77777777" w:rsidR="00C61118" w:rsidRDefault="00C61118">
                        <w:pPr>
                          <w:rPr>
                            <w:rFonts w:ascii="Times New Roman" w:eastAsia="Times New Roman" w:hAnsi="Times New Roman" w:cs="Times New Roman"/>
                            <w:sz w:val="20"/>
                            <w:szCs w:val="20"/>
                          </w:rPr>
                        </w:pPr>
                      </w:p>
                    </w:tc>
                    <w:tc>
                      <w:tcPr>
                        <w:tcW w:w="150" w:type="dxa"/>
                        <w:vAlign w:val="center"/>
                        <w:hideMark/>
                      </w:tcPr>
                      <w:p w14:paraId="2921D5C2" w14:textId="77777777" w:rsidR="00C61118" w:rsidRDefault="00C61118">
                        <w:pPr>
                          <w:rPr>
                            <w:rFonts w:ascii="Times New Roman" w:eastAsia="Times New Roman" w:hAnsi="Times New Roman" w:cs="Times New Roman"/>
                            <w:sz w:val="20"/>
                            <w:szCs w:val="20"/>
                          </w:rPr>
                        </w:pPr>
                      </w:p>
                    </w:tc>
                  </w:tr>
                </w:tbl>
                <w:p w14:paraId="61C87E22" w14:textId="77777777" w:rsidR="00C61118" w:rsidRDefault="00C61118">
                  <w:pPr>
                    <w:jc w:val="center"/>
                    <w:rPr>
                      <w:rFonts w:ascii="Times New Roman" w:eastAsia="Times New Roman" w:hAnsi="Times New Roman" w:cs="Times New Roman"/>
                      <w:sz w:val="20"/>
                      <w:szCs w:val="20"/>
                    </w:rPr>
                  </w:pPr>
                </w:p>
              </w:tc>
            </w:tr>
          </w:tbl>
          <w:p w14:paraId="69BC2D09" w14:textId="77777777" w:rsidR="00C61118" w:rsidRDefault="00C61118">
            <w:pPr>
              <w:jc w:val="center"/>
              <w:rPr>
                <w:rFonts w:ascii="Times New Roman" w:eastAsia="Times New Roman" w:hAnsi="Times New Roman" w:cs="Times New Roman"/>
                <w:sz w:val="20"/>
                <w:szCs w:val="20"/>
              </w:rPr>
            </w:pPr>
          </w:p>
        </w:tc>
      </w:tr>
      <w:tr w:rsidR="00C61118" w14:paraId="645CCCFB" w14:textId="77777777" w:rsidTr="00C6111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61118" w14:paraId="134AC93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61118" w14:paraId="7C804137" w14:textId="77777777">
                    <w:trPr>
                      <w:tblCellSpacing w:w="0" w:type="dxa"/>
                      <w:jc w:val="center"/>
                    </w:trPr>
                    <w:tc>
                      <w:tcPr>
                        <w:tcW w:w="3000" w:type="dxa"/>
                        <w:tcMar>
                          <w:top w:w="30" w:type="dxa"/>
                          <w:left w:w="75" w:type="dxa"/>
                          <w:bottom w:w="30" w:type="dxa"/>
                          <w:right w:w="75" w:type="dxa"/>
                        </w:tcMar>
                        <w:hideMark/>
                      </w:tcPr>
                      <w:p w14:paraId="159A9C99" w14:textId="77777777" w:rsidR="00C61118" w:rsidRDefault="00C61118">
                        <w:pPr>
                          <w:pStyle w:val="Heading4"/>
                          <w:jc w:val="center"/>
                          <w:rPr>
                            <w:rFonts w:eastAsia="Times New Roman"/>
                          </w:rPr>
                        </w:pPr>
                        <w:r>
                          <w:rPr>
                            <w:rFonts w:eastAsia="Times New Roman"/>
                          </w:rPr>
                          <w:lastRenderedPageBreak/>
                          <w:t>Pharmaceutical Services Negotiating Committee</w:t>
                        </w:r>
                      </w:p>
                      <w:p w14:paraId="67765227" w14:textId="333162B3" w:rsidR="00C61118" w:rsidRDefault="00C6111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9427360" wp14:editId="1C98F666">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5510703" wp14:editId="0C7BA237">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086CF76" wp14:editId="6D92E855">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D1C5BF" wp14:editId="3399FD2A">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13A8154" w14:textId="77777777" w:rsidR="00C61118" w:rsidRDefault="00C6111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61118" w14:paraId="0503760A" w14:textId="77777777">
                    <w:trPr>
                      <w:trHeight w:val="450"/>
                      <w:tblCellSpacing w:w="0" w:type="dxa"/>
                      <w:jc w:val="center"/>
                    </w:trPr>
                    <w:tc>
                      <w:tcPr>
                        <w:tcW w:w="9000" w:type="dxa"/>
                        <w:tcMar>
                          <w:top w:w="150" w:type="dxa"/>
                          <w:left w:w="0" w:type="dxa"/>
                          <w:bottom w:w="0" w:type="dxa"/>
                          <w:right w:w="0" w:type="dxa"/>
                        </w:tcMar>
                        <w:vAlign w:val="center"/>
                        <w:hideMark/>
                      </w:tcPr>
                      <w:p w14:paraId="5F52C2AE" w14:textId="6DA92139" w:rsidR="00C61118" w:rsidRDefault="00C61118" w:rsidP="00C61118">
                        <w:pPr>
                          <w:rPr>
                            <w:rFonts w:ascii="Arial" w:eastAsia="Times New Roman" w:hAnsi="Arial" w:cs="Arial"/>
                            <w:color w:val="FFFFFF"/>
                            <w:sz w:val="17"/>
                            <w:szCs w:val="17"/>
                          </w:rPr>
                        </w:pPr>
                      </w:p>
                    </w:tc>
                  </w:tr>
                </w:tbl>
                <w:p w14:paraId="70D41587" w14:textId="77777777" w:rsidR="00C61118" w:rsidRDefault="00C61118">
                  <w:pPr>
                    <w:jc w:val="center"/>
                    <w:rPr>
                      <w:rFonts w:ascii="Times New Roman" w:eastAsia="Times New Roman" w:hAnsi="Times New Roman" w:cs="Times New Roman"/>
                      <w:sz w:val="20"/>
                      <w:szCs w:val="20"/>
                    </w:rPr>
                  </w:pPr>
                </w:p>
              </w:tc>
            </w:tr>
          </w:tbl>
          <w:p w14:paraId="37160F7C" w14:textId="77777777" w:rsidR="00C61118" w:rsidRDefault="00C61118">
            <w:pPr>
              <w:jc w:val="center"/>
              <w:rPr>
                <w:rFonts w:ascii="Times New Roman" w:eastAsia="Times New Roman" w:hAnsi="Times New Roman" w:cs="Times New Roman"/>
                <w:sz w:val="20"/>
                <w:szCs w:val="20"/>
              </w:rPr>
            </w:pPr>
          </w:p>
        </w:tc>
      </w:tr>
    </w:tbl>
    <w:p w14:paraId="57309738" w14:textId="7A058635" w:rsidR="00C61118" w:rsidRDefault="00C61118" w:rsidP="00C61118">
      <w:pPr>
        <w:rPr>
          <w:rFonts w:eastAsia="Times New Roman"/>
        </w:rPr>
      </w:pPr>
      <w:r>
        <w:rPr>
          <w:rFonts w:eastAsia="Times New Roman"/>
          <w:noProof/>
        </w:rPr>
        <w:drawing>
          <wp:inline distT="0" distB="0" distL="0" distR="0" wp14:anchorId="309C0F19" wp14:editId="4115BD2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C6731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18"/>
    <w:rsid w:val="00C6111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F983"/>
  <w15:chartTrackingRefBased/>
  <w15:docId w15:val="{F337ACA7-E474-4346-9979-299B2288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18"/>
    <w:rPr>
      <w:rFonts w:ascii="Calibri" w:hAnsi="Calibri" w:cs="Calibri"/>
      <w:lang w:eastAsia="en-GB"/>
    </w:rPr>
  </w:style>
  <w:style w:type="paragraph" w:styleId="Heading1">
    <w:name w:val="heading 1"/>
    <w:basedOn w:val="Normal"/>
    <w:link w:val="Heading1Char"/>
    <w:uiPriority w:val="9"/>
    <w:qFormat/>
    <w:rsid w:val="00C6111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6111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C6111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C6111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1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61118"/>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C61118"/>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C61118"/>
    <w:rPr>
      <w:rFonts w:ascii="Tahoma" w:hAnsi="Tahoma" w:cs="Tahoma"/>
      <w:b/>
      <w:bCs/>
      <w:color w:val="FFFFFF"/>
      <w:sz w:val="18"/>
      <w:szCs w:val="18"/>
      <w:lang w:eastAsia="en-GB"/>
    </w:rPr>
  </w:style>
  <w:style w:type="character" w:styleId="Strong">
    <w:name w:val="Strong"/>
    <w:basedOn w:val="DefaultParagraphFont"/>
    <w:uiPriority w:val="22"/>
    <w:qFormat/>
    <w:rsid w:val="00C61118"/>
    <w:rPr>
      <w:b/>
      <w:bCs/>
    </w:rPr>
  </w:style>
  <w:style w:type="character" w:styleId="Hyperlink">
    <w:name w:val="Hyperlink"/>
    <w:basedOn w:val="DefaultParagraphFont"/>
    <w:uiPriority w:val="99"/>
    <w:semiHidden/>
    <w:unhideWhenUsed/>
    <w:rsid w:val="00C61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9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6b86b0df6&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a24076289a&amp;e=d19e9fd41c" TargetMode="External"/><Relationship Id="rId26" Type="http://schemas.openxmlformats.org/officeDocument/2006/relationships/image" Target="https://psnc.us7.list-manage.com/track/open.php?u=86d41ab7fa4c7c2c5d7210782&amp;id=f7d1e92fd6&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cb249a3ad3&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addfdcf08&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003a7ce5d&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f005570cb&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mailto:it@psnc.org.uk"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1694cd2d9e&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2021-06-23T07:42:00Z</dcterms:created>
  <dcterms:modified xsi:type="dcterms:W3CDTF">2021-06-23T07:50:00Z</dcterms:modified>
</cp:coreProperties>
</file>