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4D78C7" w14:paraId="5AC1E093" w14:textId="77777777" w:rsidTr="004D78C7">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4D78C7" w14:paraId="3AAE4EFB"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4D78C7" w14:paraId="3070C3A1" w14:textId="77777777">
                    <w:trPr>
                      <w:tblCellSpacing w:w="0" w:type="dxa"/>
                      <w:jc w:val="center"/>
                    </w:trPr>
                    <w:tc>
                      <w:tcPr>
                        <w:tcW w:w="3000" w:type="dxa"/>
                        <w:hideMark/>
                      </w:tcPr>
                      <w:p w14:paraId="42B4E2E2" w14:textId="6D62C3F4" w:rsidR="004D78C7" w:rsidRDefault="001A0654" w:rsidP="001A0654">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710DD4EC" w14:textId="77777777" w:rsidR="004D78C7" w:rsidRDefault="004D78C7">
                  <w:pPr>
                    <w:jc w:val="center"/>
                    <w:rPr>
                      <w:rFonts w:ascii="Times New Roman" w:eastAsia="Times New Roman" w:hAnsi="Times New Roman" w:cs="Times New Roman"/>
                      <w:sz w:val="20"/>
                      <w:szCs w:val="20"/>
                    </w:rPr>
                  </w:pPr>
                </w:p>
              </w:tc>
            </w:tr>
            <w:tr w:rsidR="004D78C7" w14:paraId="11328CB6"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4D78C7" w14:paraId="4B0A35C5" w14:textId="77777777">
                    <w:trPr>
                      <w:gridAfter w:val="1"/>
                      <w:wAfter w:w="3450" w:type="dxa"/>
                      <w:trHeight w:val="269"/>
                      <w:tblCellSpacing w:w="0" w:type="dxa"/>
                    </w:trPr>
                    <w:tc>
                      <w:tcPr>
                        <w:tcW w:w="2700" w:type="dxa"/>
                        <w:vMerge w:val="restart"/>
                        <w:tcBorders>
                          <w:top w:val="nil"/>
                          <w:left w:val="nil"/>
                          <w:bottom w:val="single" w:sz="2" w:space="0" w:color="FFFFFF"/>
                          <w:right w:val="nil"/>
                        </w:tcBorders>
                        <w:vAlign w:val="center"/>
                        <w:hideMark/>
                      </w:tcPr>
                      <w:p w14:paraId="6D8CBBB6" w14:textId="58E1A6C4" w:rsidR="004D78C7" w:rsidRDefault="004D78C7">
                        <w:pPr>
                          <w:jc w:val="center"/>
                          <w:rPr>
                            <w:rFonts w:eastAsia="Times New Roman"/>
                          </w:rPr>
                        </w:pPr>
                        <w:r>
                          <w:rPr>
                            <w:rFonts w:eastAsia="Times New Roman"/>
                            <w:noProof/>
                          </w:rPr>
                          <w:drawing>
                            <wp:inline distT="0" distB="0" distL="0" distR="0" wp14:anchorId="0F43887B" wp14:editId="043AA53C">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4D78C7" w14:paraId="13AEA150" w14:textId="77777777">
                    <w:trPr>
                      <w:tblCellSpacing w:w="0" w:type="dxa"/>
                    </w:trPr>
                    <w:tc>
                      <w:tcPr>
                        <w:tcW w:w="0" w:type="auto"/>
                        <w:vMerge/>
                        <w:tcBorders>
                          <w:top w:val="nil"/>
                          <w:left w:val="nil"/>
                          <w:bottom w:val="single" w:sz="2" w:space="0" w:color="FFFFFF"/>
                          <w:right w:val="nil"/>
                        </w:tcBorders>
                        <w:vAlign w:val="center"/>
                        <w:hideMark/>
                      </w:tcPr>
                      <w:p w14:paraId="61BD9BC2" w14:textId="77777777" w:rsidR="004D78C7" w:rsidRDefault="004D78C7">
                        <w:pPr>
                          <w:rPr>
                            <w:rFonts w:eastAsia="Times New Roman"/>
                          </w:rPr>
                        </w:pPr>
                      </w:p>
                    </w:tc>
                    <w:tc>
                      <w:tcPr>
                        <w:tcW w:w="3450" w:type="dxa"/>
                        <w:tcBorders>
                          <w:top w:val="nil"/>
                          <w:left w:val="nil"/>
                          <w:bottom w:val="nil"/>
                          <w:right w:val="nil"/>
                        </w:tcBorders>
                        <w:vAlign w:val="center"/>
                        <w:hideMark/>
                      </w:tcPr>
                      <w:p w14:paraId="420D4F79" w14:textId="77777777" w:rsidR="004D78C7" w:rsidRDefault="004D78C7">
                        <w:pPr>
                          <w:pStyle w:val="Heading1"/>
                          <w:rPr>
                            <w:rFonts w:eastAsia="Times New Roman"/>
                          </w:rPr>
                        </w:pPr>
                        <w:r>
                          <w:rPr>
                            <w:rFonts w:eastAsia="Times New Roman"/>
                          </w:rPr>
                          <w:t>Daily Update </w:t>
                        </w:r>
                      </w:p>
                    </w:tc>
                  </w:tr>
                  <w:tr w:rsidR="004D78C7" w14:paraId="01A1A117" w14:textId="77777777">
                    <w:trPr>
                      <w:tblCellSpacing w:w="0" w:type="dxa"/>
                    </w:trPr>
                    <w:tc>
                      <w:tcPr>
                        <w:tcW w:w="0" w:type="auto"/>
                        <w:vMerge/>
                        <w:tcBorders>
                          <w:top w:val="nil"/>
                          <w:left w:val="nil"/>
                          <w:bottom w:val="single" w:sz="2" w:space="0" w:color="FFFFFF"/>
                          <w:right w:val="nil"/>
                        </w:tcBorders>
                        <w:vAlign w:val="center"/>
                        <w:hideMark/>
                      </w:tcPr>
                      <w:p w14:paraId="2D6F3110" w14:textId="77777777" w:rsidR="004D78C7" w:rsidRDefault="004D78C7">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1DB9F2BB" w14:textId="77777777" w:rsidR="004D78C7" w:rsidRDefault="004D78C7">
                        <w:pPr>
                          <w:pStyle w:val="Heading2"/>
                          <w:rPr>
                            <w:rFonts w:eastAsia="Times New Roman"/>
                            <w:color w:val="93378A"/>
                          </w:rPr>
                        </w:pPr>
                        <w:r>
                          <w:rPr>
                            <w:rFonts w:eastAsia="Times New Roman"/>
                            <w:color w:val="93378A"/>
                          </w:rPr>
                          <w:t>Wednesday 23rd June 2021</w:t>
                        </w:r>
                      </w:p>
                    </w:tc>
                  </w:tr>
                </w:tbl>
                <w:p w14:paraId="30ADA8D4" w14:textId="77777777" w:rsidR="004D78C7" w:rsidRDefault="004D78C7">
                  <w:pPr>
                    <w:rPr>
                      <w:rFonts w:ascii="Times New Roman" w:eastAsia="Times New Roman" w:hAnsi="Times New Roman" w:cs="Times New Roman"/>
                      <w:sz w:val="20"/>
                      <w:szCs w:val="20"/>
                    </w:rPr>
                  </w:pPr>
                </w:p>
              </w:tc>
            </w:tr>
            <w:tr w:rsidR="004D78C7" w14:paraId="2BE91E22" w14:textId="77777777">
              <w:tblPrEx>
                <w:shd w:val="clear" w:color="auto" w:fill="auto"/>
              </w:tblPrEx>
              <w:trPr>
                <w:tblCellSpacing w:w="0" w:type="dxa"/>
                <w:jc w:val="center"/>
              </w:trPr>
              <w:tc>
                <w:tcPr>
                  <w:tcW w:w="9000" w:type="dxa"/>
                  <w:hideMark/>
                </w:tcPr>
                <w:p w14:paraId="5B4CC9DE" w14:textId="630BAE61" w:rsidR="004D78C7" w:rsidRDefault="004D78C7">
                  <w:pPr>
                    <w:rPr>
                      <w:rFonts w:eastAsia="Times New Roman"/>
                    </w:rPr>
                  </w:pPr>
                  <w:r>
                    <w:rPr>
                      <w:rFonts w:eastAsia="Times New Roman"/>
                      <w:noProof/>
                    </w:rPr>
                    <w:drawing>
                      <wp:inline distT="0" distB="0" distL="0" distR="0" wp14:anchorId="2CD79A58" wp14:editId="6AF20DE3">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4D78C7" w14:paraId="32AD5352"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4D78C7" w14:paraId="117F43C4" w14:textId="77777777">
                    <w:trPr>
                      <w:trHeight w:val="150"/>
                      <w:tblCellSpacing w:w="15" w:type="dxa"/>
                      <w:jc w:val="center"/>
                    </w:trPr>
                    <w:tc>
                      <w:tcPr>
                        <w:tcW w:w="150" w:type="dxa"/>
                        <w:vAlign w:val="center"/>
                        <w:hideMark/>
                      </w:tcPr>
                      <w:p w14:paraId="2935BD4B" w14:textId="77777777" w:rsidR="004D78C7" w:rsidRDefault="004D78C7">
                        <w:pPr>
                          <w:rPr>
                            <w:rFonts w:eastAsia="Times New Roman"/>
                          </w:rPr>
                        </w:pPr>
                      </w:p>
                    </w:tc>
                    <w:tc>
                      <w:tcPr>
                        <w:tcW w:w="8700" w:type="dxa"/>
                        <w:vAlign w:val="center"/>
                        <w:hideMark/>
                      </w:tcPr>
                      <w:p w14:paraId="0DABAFE7" w14:textId="77777777" w:rsidR="004D78C7" w:rsidRDefault="004D78C7">
                        <w:pPr>
                          <w:rPr>
                            <w:rFonts w:ascii="Times New Roman" w:eastAsia="Times New Roman" w:hAnsi="Times New Roman" w:cs="Times New Roman"/>
                            <w:sz w:val="20"/>
                            <w:szCs w:val="20"/>
                          </w:rPr>
                        </w:pPr>
                      </w:p>
                    </w:tc>
                    <w:tc>
                      <w:tcPr>
                        <w:tcW w:w="150" w:type="dxa"/>
                        <w:vAlign w:val="center"/>
                        <w:hideMark/>
                      </w:tcPr>
                      <w:p w14:paraId="0E87F99A" w14:textId="77777777" w:rsidR="004D78C7" w:rsidRDefault="004D78C7">
                        <w:pPr>
                          <w:rPr>
                            <w:rFonts w:ascii="Times New Roman" w:eastAsia="Times New Roman" w:hAnsi="Times New Roman" w:cs="Times New Roman"/>
                            <w:sz w:val="20"/>
                            <w:szCs w:val="20"/>
                          </w:rPr>
                        </w:pPr>
                      </w:p>
                    </w:tc>
                  </w:tr>
                  <w:tr w:rsidR="004D78C7" w14:paraId="1A080133" w14:textId="77777777">
                    <w:trPr>
                      <w:tblCellSpacing w:w="15" w:type="dxa"/>
                      <w:jc w:val="center"/>
                    </w:trPr>
                    <w:tc>
                      <w:tcPr>
                        <w:tcW w:w="150" w:type="dxa"/>
                        <w:vAlign w:val="center"/>
                        <w:hideMark/>
                      </w:tcPr>
                      <w:p w14:paraId="5A57803B" w14:textId="77777777" w:rsidR="004D78C7" w:rsidRDefault="004D78C7">
                        <w:pPr>
                          <w:rPr>
                            <w:rFonts w:ascii="Times New Roman" w:eastAsia="Times New Roman" w:hAnsi="Times New Roman" w:cs="Times New Roman"/>
                            <w:sz w:val="20"/>
                            <w:szCs w:val="20"/>
                          </w:rPr>
                        </w:pPr>
                      </w:p>
                    </w:tc>
                    <w:tc>
                      <w:tcPr>
                        <w:tcW w:w="8700" w:type="dxa"/>
                        <w:vAlign w:val="center"/>
                        <w:hideMark/>
                      </w:tcPr>
                      <w:p w14:paraId="69DF42F4" w14:textId="77777777" w:rsidR="004D78C7" w:rsidRDefault="004D78C7">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daily update contains important information for community pharmacy teams, including details of the ongoing response to the COVID-19 pandemic. </w:t>
                        </w:r>
                      </w:p>
                      <w:p w14:paraId="35187D95" w14:textId="77777777" w:rsidR="004D78C7" w:rsidRDefault="004D78C7">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6648FCA1">
                            <v:rect id="_x0000_i1032" style="width:468pt;height:1.5pt" o:hralign="center" o:hrstd="t" o:hr="t" fillcolor="#a0a0a0" stroked="f"/>
                          </w:pict>
                        </w:r>
                      </w:p>
                      <w:p w14:paraId="07968909" w14:textId="77777777" w:rsidR="004D78C7" w:rsidRDefault="004D78C7">
                        <w:pPr>
                          <w:pStyle w:val="Heading2"/>
                          <w:rPr>
                            <w:rFonts w:eastAsia="Times New Roman"/>
                          </w:rPr>
                        </w:pPr>
                        <w:r>
                          <w:rPr>
                            <w:rFonts w:eastAsia="Times New Roman"/>
                          </w:rPr>
                          <w:t>In today's update: CEO video update; CPCS IT changes; PQS Part 2 deadline; research supports key role for pharmacies in C-19 vacs.</w:t>
                        </w:r>
                      </w:p>
                      <w:p w14:paraId="3513D1D2" w14:textId="77777777" w:rsidR="004D78C7" w:rsidRDefault="004D78C7">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1910A474">
                            <v:rect id="_x0000_i1033" style="width:468pt;height:1.5pt" o:hralign="center" o:hrstd="t" o:hr="t" fillcolor="#a0a0a0" stroked="f"/>
                          </w:pict>
                        </w:r>
                      </w:p>
                      <w:p w14:paraId="54653DEE" w14:textId="5EC395B7" w:rsidR="004D78C7" w:rsidRDefault="004D78C7" w:rsidP="001A0654">
                        <w:pPr>
                          <w:spacing w:line="264" w:lineRule="auto"/>
                          <w:rPr>
                            <w:rFonts w:ascii="Tahoma" w:eastAsia="Times New Roman" w:hAnsi="Tahoma" w:cs="Tahoma"/>
                            <w:color w:val="303030"/>
                            <w:sz w:val="21"/>
                            <w:szCs w:val="21"/>
                          </w:rPr>
                        </w:pPr>
                        <w:r>
                          <w:rPr>
                            <w:rStyle w:val="Strong"/>
                            <w:rFonts w:ascii="Tahoma" w:eastAsia="Times New Roman" w:hAnsi="Tahoma" w:cs="Tahoma"/>
                            <w:color w:val="4E3487"/>
                            <w:sz w:val="27"/>
                            <w:szCs w:val="27"/>
                          </w:rPr>
                          <w:t>June video update from PSNC’s CEO</w:t>
                        </w:r>
                        <w:r>
                          <w:rPr>
                            <w:rFonts w:ascii="Tahoma" w:eastAsia="Times New Roman" w:hAnsi="Tahoma" w:cs="Tahoma"/>
                            <w:color w:val="303030"/>
                            <w:sz w:val="21"/>
                            <w:szCs w:val="21"/>
                          </w:rPr>
                          <w:br/>
                        </w:r>
                        <w:r w:rsidR="001A0654">
                          <w:rPr>
                            <w:rFonts w:ascii="Tahoma" w:eastAsia="Times New Roman" w:hAnsi="Tahoma" w:cs="Tahoma"/>
                            <w:color w:val="303030"/>
                            <w:sz w:val="21"/>
                            <w:szCs w:val="21"/>
                          </w:rPr>
                          <w:t>I</w:t>
                        </w:r>
                        <w:r>
                          <w:rPr>
                            <w:rFonts w:ascii="Tahoma" w:eastAsia="Times New Roman" w:hAnsi="Tahoma" w:cs="Tahoma"/>
                            <w:color w:val="303030"/>
                            <w:sz w:val="21"/>
                            <w:szCs w:val="21"/>
                          </w:rPr>
                          <w:t>n his latest video update, PSNC's CEO Simon Dukes encourages community pharmacy contractors to get engaged with the work of the Pharmacy Review Steering Group (RSG) as it begins to map out new structures and ways of working for PSNC and the LPCs.</w:t>
                        </w:r>
                        <w:r>
                          <w:rPr>
                            <w:rFonts w:ascii="Tahoma" w:eastAsia="Times New Roman" w:hAnsi="Tahoma" w:cs="Tahoma"/>
                            <w:color w:val="303030"/>
                            <w:sz w:val="21"/>
                            <w:szCs w:val="21"/>
                          </w:rPr>
                          <w:br/>
                        </w:r>
                        <w:r>
                          <w:rPr>
                            <w:rFonts w:ascii="Tahoma" w:eastAsia="Times New Roman" w:hAnsi="Tahoma" w:cs="Tahoma"/>
                            <w:color w:val="303030"/>
                            <w:sz w:val="21"/>
                            <w:szCs w:val="21"/>
                          </w:rPr>
                          <w:br/>
                          <w:t>Simon advises contractors that now is the time to get interested as the Group looks to improve what contractors get in return for their levy. The RSG programme is entering an important phase of work, and Simon asks that the sector focuses on consensus and compromise and works to find an answer to the future of contractor representation and support together.</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Hyperlink"/>
                              <w:rFonts w:ascii="Tahoma" w:eastAsia="Times New Roman" w:hAnsi="Tahoma" w:cs="Tahoma"/>
                              <w:b/>
                              <w:bCs/>
                              <w:color w:val="4E3487"/>
                              <w:sz w:val="21"/>
                              <w:szCs w:val="21"/>
                            </w:rPr>
                            <w:t>Watch the video update</w:t>
                          </w:r>
                        </w:hyperlink>
                        <w:r>
                          <w:rPr>
                            <w:rFonts w:ascii="Tahoma" w:eastAsia="Times New Roman" w:hAnsi="Tahoma" w:cs="Tahoma"/>
                            <w:color w:val="303030"/>
                            <w:sz w:val="21"/>
                            <w:szCs w:val="21"/>
                          </w:rPr>
                          <w:t xml:space="preserve"> </w:t>
                        </w:r>
                      </w:p>
                      <w:p w14:paraId="4B05A8BB" w14:textId="77777777" w:rsidR="004D78C7" w:rsidRDefault="004D78C7">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2E81A233">
                            <v:rect id="_x0000_i1034" style="width:468pt;height:1.5pt" o:hralign="center" o:hrstd="t" o:hr="t" fillcolor="#a0a0a0" stroked="f"/>
                          </w:pict>
                        </w:r>
                      </w:p>
                      <w:p w14:paraId="3326DC89" w14:textId="77777777" w:rsidR="004D78C7" w:rsidRDefault="004D78C7">
                        <w:pPr>
                          <w:pStyle w:val="Heading3"/>
                          <w:rPr>
                            <w:rFonts w:eastAsia="Times New Roman"/>
                          </w:rPr>
                        </w:pPr>
                        <w:r>
                          <w:rPr>
                            <w:rFonts w:eastAsia="Times New Roman"/>
                          </w:rPr>
                          <w:t>CPCS IT changes from October 1st </w:t>
                        </w:r>
                      </w:p>
                      <w:p w14:paraId="74E73BFF" w14:textId="1053888E" w:rsidR="004D78C7" w:rsidRDefault="004D78C7" w:rsidP="00F3038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From October 1st</w:t>
                        </w:r>
                        <w:proofErr w:type="gramStart"/>
                        <w:r>
                          <w:rPr>
                            <w:rFonts w:ascii="Tahoma" w:eastAsia="Times New Roman" w:hAnsi="Tahoma" w:cs="Tahoma"/>
                            <w:color w:val="303030"/>
                            <w:sz w:val="21"/>
                            <w:szCs w:val="21"/>
                          </w:rPr>
                          <w:t xml:space="preserve"> 2021</w:t>
                        </w:r>
                        <w:proofErr w:type="gramEnd"/>
                        <w:r>
                          <w:rPr>
                            <w:rFonts w:ascii="Tahoma" w:eastAsia="Times New Roman" w:hAnsi="Tahoma" w:cs="Tahoma"/>
                            <w:color w:val="303030"/>
                            <w:sz w:val="21"/>
                            <w:szCs w:val="21"/>
                          </w:rPr>
                          <w:t>, contractors providing the Community Pharmacist Consultation Service (CPCS) need to procure their own IT support from the system suppliers offering CPCS functionality.</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Sonar Informatics and PharmOutcomes are currently the only pharmacy IT systems with the capacity to receive CPCS referral messages, support the creation of clinical records and submit claims to the NHS Business Services Authority (NHSBSA). However, Positive Solutions and </w:t>
                        </w:r>
                        <w:proofErr w:type="spellStart"/>
                        <w:r>
                          <w:rPr>
                            <w:rFonts w:ascii="Tahoma" w:eastAsia="Times New Roman" w:hAnsi="Tahoma" w:cs="Tahoma"/>
                            <w:color w:val="303030"/>
                            <w:sz w:val="21"/>
                            <w:szCs w:val="21"/>
                          </w:rPr>
                          <w:t>Cegedim</w:t>
                        </w:r>
                        <w:proofErr w:type="spellEnd"/>
                        <w:r>
                          <w:rPr>
                            <w:rFonts w:ascii="Tahoma" w:eastAsia="Times New Roman" w:hAnsi="Tahoma" w:cs="Tahoma"/>
                            <w:color w:val="303030"/>
                            <w:sz w:val="21"/>
                            <w:szCs w:val="21"/>
                          </w:rPr>
                          <w:t xml:space="preserve"> are also working to develop this functionality.</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Learn more about the CPCS IT changes</w:t>
                          </w:r>
                        </w:hyperlink>
                        <w:r>
                          <w:rPr>
                            <w:rFonts w:ascii="Tahoma" w:eastAsia="Times New Roman" w:hAnsi="Tahoma" w:cs="Tahoma"/>
                            <w:color w:val="303030"/>
                            <w:sz w:val="21"/>
                            <w:szCs w:val="21"/>
                          </w:rPr>
                          <w:t xml:space="preserve"> </w:t>
                        </w:r>
                      </w:p>
                      <w:p w14:paraId="65F5A9BC" w14:textId="77777777" w:rsidR="004D78C7" w:rsidRDefault="004D78C7">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3E3850E0">
                            <v:rect id="_x0000_i1035" style="width:468pt;height:1.5pt" o:hralign="center" o:hrstd="t" o:hr="t" fillcolor="#a0a0a0" stroked="f"/>
                          </w:pict>
                        </w:r>
                      </w:p>
                      <w:p w14:paraId="1C7D7421" w14:textId="77777777" w:rsidR="004D78C7" w:rsidRDefault="004D78C7">
                        <w:pPr>
                          <w:pStyle w:val="Heading3"/>
                          <w:rPr>
                            <w:rFonts w:eastAsia="Times New Roman"/>
                          </w:rPr>
                        </w:pPr>
                        <w:r>
                          <w:rPr>
                            <w:rFonts w:eastAsia="Times New Roman"/>
                          </w:rPr>
                          <w:t>One week left for completion of work for PQS Part 2 2020/21</w:t>
                        </w:r>
                      </w:p>
                      <w:p w14:paraId="13DCDFDF" w14:textId="11C981E4" w:rsidR="004D78C7" w:rsidRDefault="004D78C7" w:rsidP="000F57F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Contractors are reminded that the work within the Pharmacy Quality Scheme (PQS) Part 2 2020/21 must be completed </w:t>
                        </w:r>
                        <w:r>
                          <w:rPr>
                            <w:rStyle w:val="Strong"/>
                            <w:rFonts w:ascii="Tahoma" w:eastAsia="Times New Roman" w:hAnsi="Tahoma" w:cs="Tahoma"/>
                            <w:color w:val="303030"/>
                            <w:sz w:val="21"/>
                            <w:szCs w:val="21"/>
                          </w:rPr>
                          <w:t>by next Wednesday, 30th June 2021</w:t>
                        </w:r>
                        <w:r>
                          <w:rPr>
                            <w:rFonts w:ascii="Tahoma" w:eastAsia="Times New Roman" w:hAnsi="Tahoma" w:cs="Tahoma"/>
                            <w:color w:val="303030"/>
                            <w:sz w:val="21"/>
                            <w:szCs w:val="21"/>
                          </w:rPr>
                          <w:t>. This follows a </w:t>
                        </w:r>
                        <w:hyperlink r:id="rId10" w:tgtFrame="_blank" w:history="1">
                          <w:r>
                            <w:rPr>
                              <w:rStyle w:val="Hyperlink"/>
                              <w:rFonts w:ascii="Tahoma" w:eastAsia="Times New Roman" w:hAnsi="Tahoma" w:cs="Tahoma"/>
                              <w:b/>
                              <w:bCs/>
                              <w:color w:val="4E3487"/>
                              <w:sz w:val="21"/>
                              <w:szCs w:val="21"/>
                            </w:rPr>
                            <w:t>request from PSNC</w:t>
                          </w:r>
                        </w:hyperlink>
                        <w:r>
                          <w:rPr>
                            <w:rFonts w:ascii="Tahoma" w:eastAsia="Times New Roman" w:hAnsi="Tahoma" w:cs="Tahoma"/>
                            <w:color w:val="303030"/>
                            <w:sz w:val="21"/>
                            <w:szCs w:val="21"/>
                          </w:rPr>
                          <w:t> to DHSC and NHS England and NHS Improvement (NHSE&amp;I) last year that contractors be given more flexible timings for completion of this work.</w:t>
                        </w:r>
                        <w:r>
                          <w:rPr>
                            <w:rFonts w:ascii="Tahoma" w:eastAsia="Times New Roman" w:hAnsi="Tahoma" w:cs="Tahoma"/>
                            <w:color w:val="303030"/>
                            <w:sz w:val="21"/>
                            <w:szCs w:val="21"/>
                          </w:rPr>
                          <w:br/>
                        </w:r>
                        <w:r>
                          <w:rPr>
                            <w:rFonts w:ascii="Tahoma" w:eastAsia="Times New Roman" w:hAnsi="Tahoma" w:cs="Tahoma"/>
                            <w:color w:val="303030"/>
                            <w:sz w:val="21"/>
                            <w:szCs w:val="21"/>
                          </w:rPr>
                          <w:br/>
                        </w:r>
                        <w:r>
                          <w:rPr>
                            <w:rFonts w:ascii="Tahoma" w:eastAsia="Times New Roman" w:hAnsi="Tahoma" w:cs="Tahoma"/>
                            <w:color w:val="303030"/>
                            <w:sz w:val="21"/>
                            <w:szCs w:val="21"/>
                          </w:rPr>
                          <w:lastRenderedPageBreak/>
                          <w:t>This means that contractors have until the end of the month to meet the domains they declared as having met earlier this year and collate the evidence to demonstrate that they are compliant with the requirements.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Find out more about the PQS Part 2 deadline</w:t>
                          </w:r>
                        </w:hyperlink>
                        <w:r>
                          <w:rPr>
                            <w:rFonts w:ascii="Tahoma" w:eastAsia="Times New Roman" w:hAnsi="Tahoma" w:cs="Tahoma"/>
                            <w:color w:val="303030"/>
                            <w:sz w:val="21"/>
                            <w:szCs w:val="21"/>
                          </w:rPr>
                          <w:t xml:space="preserve"> </w:t>
                        </w:r>
                      </w:p>
                      <w:p w14:paraId="1B85253D" w14:textId="77777777" w:rsidR="004D78C7" w:rsidRDefault="004D78C7">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11836CC2">
                            <v:rect id="_x0000_i1036" style="width:468pt;height:1.5pt" o:hralign="center" o:hrstd="t" o:hr="t" fillcolor="#a0a0a0" stroked="f"/>
                          </w:pict>
                        </w:r>
                      </w:p>
                      <w:p w14:paraId="5DF2439D" w14:textId="77777777" w:rsidR="004D78C7" w:rsidRDefault="004D78C7">
                        <w:pPr>
                          <w:pStyle w:val="Heading3"/>
                          <w:rPr>
                            <w:rFonts w:eastAsia="Times New Roman"/>
                          </w:rPr>
                        </w:pPr>
                        <w:r>
                          <w:rPr>
                            <w:rFonts w:eastAsia="Times New Roman"/>
                          </w:rPr>
                          <w:t xml:space="preserve">Research finds pharmacies can play a key role in COVID-19 </w:t>
                        </w:r>
                        <w:proofErr w:type="gramStart"/>
                        <w:r>
                          <w:rPr>
                            <w:rFonts w:eastAsia="Times New Roman"/>
                          </w:rPr>
                          <w:t>vaccinations</w:t>
                        </w:r>
                        <w:proofErr w:type="gramEnd"/>
                      </w:p>
                      <w:p w14:paraId="3218CF8D" w14:textId="7A88C9E9" w:rsidR="004D78C7" w:rsidRDefault="004D78C7" w:rsidP="000F57F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According to research published recently in BMJ Open, community pharmacies could perform a key role in future COVID-19 vaccination programmes owing to their accessibility and the fact that they are trusted by the communities they serve.</w:t>
                        </w:r>
                        <w:r>
                          <w:rPr>
                            <w:rFonts w:ascii="Tahoma" w:eastAsia="Times New Roman" w:hAnsi="Tahoma" w:cs="Tahoma"/>
                            <w:color w:val="303030"/>
                            <w:sz w:val="21"/>
                            <w:szCs w:val="21"/>
                          </w:rPr>
                          <w:br/>
                        </w:r>
                        <w:r>
                          <w:rPr>
                            <w:rFonts w:ascii="Tahoma" w:eastAsia="Times New Roman" w:hAnsi="Tahoma" w:cs="Tahoma"/>
                            <w:color w:val="303030"/>
                            <w:sz w:val="21"/>
                            <w:szCs w:val="21"/>
                          </w:rPr>
                          <w:br/>
                          <w:t>The report makes a series of recommendations, including calling on decision-makers to endorse and provide support for a clearly defined public health role for community pharmacy.</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2" w:tgtFrame="_blank" w:history="1">
                          <w:r>
                            <w:rPr>
                              <w:rStyle w:val="Hyperlink"/>
                              <w:rFonts w:ascii="Tahoma" w:eastAsia="Times New Roman" w:hAnsi="Tahoma" w:cs="Tahoma"/>
                              <w:b/>
                              <w:bCs/>
                              <w:color w:val="4E3487"/>
                              <w:sz w:val="21"/>
                              <w:szCs w:val="21"/>
                            </w:rPr>
                            <w:t>Learn more about the findings</w:t>
                          </w:r>
                        </w:hyperlink>
                      </w:p>
                    </w:tc>
                    <w:tc>
                      <w:tcPr>
                        <w:tcW w:w="150" w:type="dxa"/>
                        <w:vAlign w:val="center"/>
                        <w:hideMark/>
                      </w:tcPr>
                      <w:p w14:paraId="7CDF352D" w14:textId="77777777" w:rsidR="004D78C7" w:rsidRDefault="004D78C7">
                        <w:pPr>
                          <w:rPr>
                            <w:rFonts w:ascii="Tahoma" w:eastAsia="Times New Roman" w:hAnsi="Tahoma" w:cs="Tahoma"/>
                            <w:color w:val="303030"/>
                            <w:sz w:val="21"/>
                            <w:szCs w:val="21"/>
                          </w:rPr>
                        </w:pPr>
                      </w:p>
                    </w:tc>
                  </w:tr>
                  <w:tr w:rsidR="004D78C7" w14:paraId="1DEC7E22" w14:textId="77777777">
                    <w:trPr>
                      <w:trHeight w:val="150"/>
                      <w:tblCellSpacing w:w="15" w:type="dxa"/>
                      <w:jc w:val="center"/>
                    </w:trPr>
                    <w:tc>
                      <w:tcPr>
                        <w:tcW w:w="150" w:type="dxa"/>
                        <w:vAlign w:val="center"/>
                        <w:hideMark/>
                      </w:tcPr>
                      <w:p w14:paraId="4022D320" w14:textId="77777777" w:rsidR="004D78C7" w:rsidRDefault="004D78C7">
                        <w:pPr>
                          <w:rPr>
                            <w:rFonts w:ascii="Times New Roman" w:eastAsia="Times New Roman" w:hAnsi="Times New Roman" w:cs="Times New Roman"/>
                            <w:sz w:val="20"/>
                            <w:szCs w:val="20"/>
                          </w:rPr>
                        </w:pPr>
                      </w:p>
                    </w:tc>
                    <w:tc>
                      <w:tcPr>
                        <w:tcW w:w="8700" w:type="dxa"/>
                        <w:vAlign w:val="center"/>
                        <w:hideMark/>
                      </w:tcPr>
                      <w:p w14:paraId="130A450D" w14:textId="77777777" w:rsidR="004D78C7" w:rsidRDefault="004D78C7">
                        <w:pPr>
                          <w:rPr>
                            <w:rFonts w:ascii="Times New Roman" w:eastAsia="Times New Roman" w:hAnsi="Times New Roman" w:cs="Times New Roman"/>
                            <w:sz w:val="20"/>
                            <w:szCs w:val="20"/>
                          </w:rPr>
                        </w:pPr>
                      </w:p>
                    </w:tc>
                    <w:tc>
                      <w:tcPr>
                        <w:tcW w:w="150" w:type="dxa"/>
                        <w:vAlign w:val="center"/>
                        <w:hideMark/>
                      </w:tcPr>
                      <w:p w14:paraId="0C07AFB6" w14:textId="77777777" w:rsidR="004D78C7" w:rsidRDefault="004D78C7">
                        <w:pPr>
                          <w:rPr>
                            <w:rFonts w:ascii="Times New Roman" w:eastAsia="Times New Roman" w:hAnsi="Times New Roman" w:cs="Times New Roman"/>
                            <w:sz w:val="20"/>
                            <w:szCs w:val="20"/>
                          </w:rPr>
                        </w:pPr>
                      </w:p>
                    </w:tc>
                  </w:tr>
                </w:tbl>
                <w:p w14:paraId="14AFADDA" w14:textId="77777777" w:rsidR="004D78C7" w:rsidRDefault="004D78C7">
                  <w:pPr>
                    <w:jc w:val="center"/>
                    <w:rPr>
                      <w:rFonts w:ascii="Times New Roman" w:eastAsia="Times New Roman" w:hAnsi="Times New Roman" w:cs="Times New Roman"/>
                      <w:sz w:val="20"/>
                      <w:szCs w:val="20"/>
                    </w:rPr>
                  </w:pPr>
                </w:p>
              </w:tc>
            </w:tr>
          </w:tbl>
          <w:p w14:paraId="3E62436F" w14:textId="77777777" w:rsidR="004D78C7" w:rsidRDefault="004D78C7">
            <w:pPr>
              <w:jc w:val="center"/>
              <w:rPr>
                <w:rFonts w:ascii="Times New Roman" w:eastAsia="Times New Roman" w:hAnsi="Times New Roman" w:cs="Times New Roman"/>
                <w:sz w:val="20"/>
                <w:szCs w:val="20"/>
              </w:rPr>
            </w:pPr>
          </w:p>
        </w:tc>
      </w:tr>
      <w:tr w:rsidR="004D78C7" w14:paraId="616B0129" w14:textId="77777777" w:rsidTr="004D78C7">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4D78C7" w14:paraId="14AAAFA7"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4D78C7" w14:paraId="413E310A" w14:textId="77777777">
                    <w:trPr>
                      <w:tblCellSpacing w:w="0" w:type="dxa"/>
                      <w:jc w:val="center"/>
                    </w:trPr>
                    <w:tc>
                      <w:tcPr>
                        <w:tcW w:w="3000" w:type="dxa"/>
                        <w:tcMar>
                          <w:top w:w="30" w:type="dxa"/>
                          <w:left w:w="75" w:type="dxa"/>
                          <w:bottom w:w="30" w:type="dxa"/>
                          <w:right w:w="75" w:type="dxa"/>
                        </w:tcMar>
                        <w:hideMark/>
                      </w:tcPr>
                      <w:p w14:paraId="5AD14CC7" w14:textId="77777777" w:rsidR="004D78C7" w:rsidRDefault="004D78C7">
                        <w:pPr>
                          <w:pStyle w:val="Heading4"/>
                          <w:jc w:val="center"/>
                          <w:rPr>
                            <w:rFonts w:eastAsia="Times New Roman"/>
                          </w:rPr>
                        </w:pPr>
                        <w:r>
                          <w:rPr>
                            <w:rFonts w:eastAsia="Times New Roman"/>
                          </w:rPr>
                          <w:lastRenderedPageBreak/>
                          <w:t>Pharmaceutical Services Negotiating Committee</w:t>
                        </w:r>
                      </w:p>
                      <w:p w14:paraId="2A7B6548" w14:textId="39B8768C" w:rsidR="004D78C7" w:rsidRDefault="004D78C7">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79EFF79C" wp14:editId="64B97488">
                              <wp:extent cx="609600" cy="304800"/>
                              <wp:effectExtent l="0" t="0" r="0" b="0"/>
                              <wp:docPr id="5" name="Picture 5">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5FB112A" wp14:editId="5B1398FB">
                              <wp:extent cx="609600" cy="304800"/>
                              <wp:effectExtent l="0" t="0" r="0" b="0"/>
                              <wp:docPr id="4" name="Picture 4">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BCE248B" wp14:editId="19172931">
                              <wp:extent cx="609600" cy="304800"/>
                              <wp:effectExtent l="0" t="0" r="0" b="0"/>
                              <wp:docPr id="3" name="Picture 3">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E5CA961" wp14:editId="0310EA94">
                              <wp:extent cx="609600" cy="304800"/>
                              <wp:effectExtent l="0" t="0" r="0" b="0"/>
                              <wp:docPr id="2" name="Picture 2">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5AE93FB7" w14:textId="77777777" w:rsidR="004D78C7" w:rsidRDefault="004D78C7">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5"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4D78C7" w14:paraId="40A722FF" w14:textId="77777777">
                    <w:trPr>
                      <w:trHeight w:val="450"/>
                      <w:tblCellSpacing w:w="0" w:type="dxa"/>
                      <w:jc w:val="center"/>
                    </w:trPr>
                    <w:tc>
                      <w:tcPr>
                        <w:tcW w:w="9000" w:type="dxa"/>
                        <w:tcMar>
                          <w:top w:w="150" w:type="dxa"/>
                          <w:left w:w="0" w:type="dxa"/>
                          <w:bottom w:w="0" w:type="dxa"/>
                          <w:right w:w="0" w:type="dxa"/>
                        </w:tcMar>
                        <w:vAlign w:val="center"/>
                        <w:hideMark/>
                      </w:tcPr>
                      <w:p w14:paraId="09EC1325" w14:textId="6C7A6EC9" w:rsidR="004D78C7" w:rsidRDefault="004D78C7" w:rsidP="001A0654">
                        <w:pPr>
                          <w:rPr>
                            <w:rFonts w:ascii="Arial" w:eastAsia="Times New Roman" w:hAnsi="Arial" w:cs="Arial"/>
                            <w:color w:val="FFFFFF"/>
                            <w:sz w:val="17"/>
                            <w:szCs w:val="17"/>
                          </w:rPr>
                        </w:pPr>
                      </w:p>
                    </w:tc>
                  </w:tr>
                </w:tbl>
                <w:p w14:paraId="66F65F16" w14:textId="77777777" w:rsidR="004D78C7" w:rsidRDefault="004D78C7">
                  <w:pPr>
                    <w:jc w:val="center"/>
                    <w:rPr>
                      <w:rFonts w:ascii="Times New Roman" w:eastAsia="Times New Roman" w:hAnsi="Times New Roman" w:cs="Times New Roman"/>
                      <w:sz w:val="20"/>
                      <w:szCs w:val="20"/>
                    </w:rPr>
                  </w:pPr>
                </w:p>
              </w:tc>
            </w:tr>
          </w:tbl>
          <w:p w14:paraId="73215947" w14:textId="77777777" w:rsidR="004D78C7" w:rsidRDefault="004D78C7">
            <w:pPr>
              <w:jc w:val="center"/>
              <w:rPr>
                <w:rFonts w:ascii="Times New Roman" w:eastAsia="Times New Roman" w:hAnsi="Times New Roman" w:cs="Times New Roman"/>
                <w:sz w:val="20"/>
                <w:szCs w:val="20"/>
              </w:rPr>
            </w:pPr>
          </w:p>
        </w:tc>
      </w:tr>
    </w:tbl>
    <w:p w14:paraId="61187236" w14:textId="1557D249" w:rsidR="004D78C7" w:rsidRDefault="004D78C7" w:rsidP="004D78C7">
      <w:pPr>
        <w:rPr>
          <w:rFonts w:eastAsia="Times New Roman"/>
        </w:rPr>
      </w:pPr>
      <w:r>
        <w:rPr>
          <w:rFonts w:eastAsia="Times New Roman"/>
          <w:noProof/>
        </w:rPr>
        <w:drawing>
          <wp:inline distT="0" distB="0" distL="0" distR="0" wp14:anchorId="43DAF9FB" wp14:editId="6C1C50E2">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C02D9EB"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19E"/>
    <w:rsid w:val="000F57F8"/>
    <w:rsid w:val="001A0654"/>
    <w:rsid w:val="004D78C7"/>
    <w:rsid w:val="0089619E"/>
    <w:rsid w:val="00DD1890"/>
    <w:rsid w:val="00F30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E5E59"/>
  <w15:chartTrackingRefBased/>
  <w15:docId w15:val="{A1153341-A764-4EE6-AB3B-D4C70F31D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8C7"/>
    <w:rPr>
      <w:rFonts w:ascii="Calibri" w:hAnsi="Calibri" w:cs="Calibri"/>
      <w:lang w:eastAsia="en-GB"/>
    </w:rPr>
  </w:style>
  <w:style w:type="paragraph" w:styleId="Heading1">
    <w:name w:val="heading 1"/>
    <w:basedOn w:val="Normal"/>
    <w:link w:val="Heading1Char"/>
    <w:uiPriority w:val="9"/>
    <w:qFormat/>
    <w:rsid w:val="004D78C7"/>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4D78C7"/>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4D78C7"/>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4D78C7"/>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8C7"/>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4D78C7"/>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4D78C7"/>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4D78C7"/>
    <w:rPr>
      <w:rFonts w:ascii="Tahoma" w:hAnsi="Tahoma" w:cs="Tahoma"/>
      <w:b/>
      <w:bCs/>
      <w:color w:val="FFFFFF"/>
      <w:sz w:val="18"/>
      <w:szCs w:val="18"/>
      <w:lang w:eastAsia="en-GB"/>
    </w:rPr>
  </w:style>
  <w:style w:type="character" w:styleId="Strong">
    <w:name w:val="Strong"/>
    <w:basedOn w:val="DefaultParagraphFont"/>
    <w:uiPriority w:val="22"/>
    <w:qFormat/>
    <w:rsid w:val="004D78C7"/>
    <w:rPr>
      <w:b/>
      <w:bCs/>
    </w:rPr>
  </w:style>
  <w:style w:type="character" w:styleId="Hyperlink">
    <w:name w:val="Hyperlink"/>
    <w:basedOn w:val="DefaultParagraphFont"/>
    <w:uiPriority w:val="99"/>
    <w:semiHidden/>
    <w:unhideWhenUsed/>
    <w:rsid w:val="004D78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14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f1ab57c6c3&amp;e=d19e9fd41c" TargetMode="External"/><Relationship Id="rId13" Type="http://schemas.openxmlformats.org/officeDocument/2006/relationships/hyperlink" Target="https://psnc.us7.list-manage.com/track/click?u=86d41ab7fa4c7c2c5d7210782&amp;id=b7f4107b43&amp;e=d19e9fd41c" TargetMode="External"/><Relationship Id="rId18" Type="http://schemas.openxmlformats.org/officeDocument/2006/relationships/image" Target="https://gallery.mailchimp.com/86d41ab7fa4c7c2c5d7210782/images/e1475f6b-1081-4509-ab25-9cd7f83d26b2.png" TargetMode="External"/><Relationship Id="rId26" Type="http://schemas.openxmlformats.org/officeDocument/2006/relationships/image" Target="media/image7.gif"/><Relationship Id="rId3" Type="http://schemas.openxmlformats.org/officeDocument/2006/relationships/webSettings" Target="webSettings.xml"/><Relationship Id="rId21" Type="http://schemas.openxmlformats.org/officeDocument/2006/relationships/image" Target="https://gallery.mailchimp.com/86d41ab7fa4c7c2c5d7210782/images/cd088afd-0ac0-4498-8ed1-e4199bf882ce.png"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341ff9a4fd&amp;e=d19e9fd41c" TargetMode="External"/><Relationship Id="rId17" Type="http://schemas.openxmlformats.org/officeDocument/2006/relationships/image" Target="media/image4.png"/><Relationship Id="rId25" Type="http://schemas.openxmlformats.org/officeDocument/2006/relationships/hyperlink" Target="mailto:info@psnc.org.uk"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8edfa8ad6a&amp;e=d19e9fd41c"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040bdddb76&amp;e=d19e9fd41c" TargetMode="External"/><Relationship Id="rId24" Type="http://schemas.openxmlformats.org/officeDocument/2006/relationships/image" Target="https://gallery.mailchimp.com/86d41ab7fa4c7c2c5d7210782/images/f5c0845f-f39c-425d-8d3c-deff11493c50.png"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https://gallery.mailchimp.com/86d41ab7fa4c7c2c5d7210782/images/5acd9cf1-bdba-4039-b74f-638b444ff5d8.png"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yperlink" Target="https://psnc.us7.list-manage.com/track/click?u=86d41ab7fa4c7c2c5d7210782&amp;id=1c641743e4&amp;e=d19e9fd41c" TargetMode="External"/><Relationship Id="rId19" Type="http://schemas.openxmlformats.org/officeDocument/2006/relationships/hyperlink" Target="https://psnc.us7.list-manage.com/track/click?u=86d41ab7fa4c7c2c5d7210782&amp;id=5fb1391c67&amp;e=d19e9fd41c"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16c3a17d55&amp;e=d19e9fd41c" TargetMode="External"/><Relationship Id="rId14" Type="http://schemas.openxmlformats.org/officeDocument/2006/relationships/image" Target="media/image3.png"/><Relationship Id="rId22" Type="http://schemas.openxmlformats.org/officeDocument/2006/relationships/hyperlink" Target="https://psnc.us7.list-manage.com/track/click?u=86d41ab7fa4c7c2c5d7210782&amp;id=d0132d63fd&amp;e=d19e9fd41c" TargetMode="External"/><Relationship Id="rId27" Type="http://schemas.openxmlformats.org/officeDocument/2006/relationships/image" Target="https://psnc.us7.list-manage.com/track/open.php?u=86d41ab7fa4c7c2c5d7210782&amp;id=287c623bd7&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539</Words>
  <Characters>3077</Characters>
  <Application>Microsoft Office Word</Application>
  <DocSecurity>0</DocSecurity>
  <Lines>25</Lines>
  <Paragraphs>7</Paragraphs>
  <ScaleCrop>false</ScaleCrop>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5</cp:revision>
  <dcterms:created xsi:type="dcterms:W3CDTF">2021-06-23T18:01:00Z</dcterms:created>
  <dcterms:modified xsi:type="dcterms:W3CDTF">2021-06-24T07:50:00Z</dcterms:modified>
</cp:coreProperties>
</file>