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3445E" w14:paraId="4B2A1401" w14:textId="77777777" w:rsidTr="00E3445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3445E" w14:paraId="1613906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3445E" w14:paraId="395C6C55" w14:textId="77777777">
                    <w:trPr>
                      <w:tblCellSpacing w:w="0" w:type="dxa"/>
                      <w:jc w:val="center"/>
                    </w:trPr>
                    <w:tc>
                      <w:tcPr>
                        <w:tcW w:w="3000" w:type="dxa"/>
                        <w:hideMark/>
                      </w:tcPr>
                      <w:p w14:paraId="4A4AF9C2" w14:textId="081A15AE" w:rsidR="00E3445E" w:rsidRDefault="00E3445E" w:rsidP="00E3445E">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9B4BF17" w14:textId="77777777" w:rsidR="00E3445E" w:rsidRDefault="00E3445E">
                  <w:pPr>
                    <w:jc w:val="center"/>
                    <w:rPr>
                      <w:rFonts w:ascii="Times New Roman" w:eastAsia="Times New Roman" w:hAnsi="Times New Roman" w:cs="Times New Roman"/>
                      <w:sz w:val="20"/>
                      <w:szCs w:val="20"/>
                    </w:rPr>
                  </w:pPr>
                </w:p>
              </w:tc>
            </w:tr>
            <w:tr w:rsidR="00E3445E" w14:paraId="106C6E2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3445E" w14:paraId="181FF43E"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58E30411" w14:textId="49C64183" w:rsidR="00E3445E" w:rsidRDefault="00E3445E">
                        <w:pPr>
                          <w:jc w:val="center"/>
                          <w:rPr>
                            <w:rFonts w:eastAsia="Times New Roman"/>
                          </w:rPr>
                        </w:pPr>
                        <w:r>
                          <w:rPr>
                            <w:rFonts w:eastAsia="Times New Roman"/>
                            <w:noProof/>
                          </w:rPr>
                          <w:drawing>
                            <wp:inline distT="0" distB="0" distL="0" distR="0" wp14:anchorId="775AA0A6" wp14:editId="7536938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3445E" w14:paraId="14C144A6" w14:textId="77777777">
                    <w:trPr>
                      <w:tblCellSpacing w:w="0" w:type="dxa"/>
                    </w:trPr>
                    <w:tc>
                      <w:tcPr>
                        <w:tcW w:w="0" w:type="auto"/>
                        <w:vMerge/>
                        <w:tcBorders>
                          <w:top w:val="nil"/>
                          <w:left w:val="nil"/>
                          <w:bottom w:val="single" w:sz="2" w:space="0" w:color="FFFFFF"/>
                          <w:right w:val="nil"/>
                        </w:tcBorders>
                        <w:vAlign w:val="center"/>
                        <w:hideMark/>
                      </w:tcPr>
                      <w:p w14:paraId="1CE9AFDD" w14:textId="77777777" w:rsidR="00E3445E" w:rsidRDefault="00E3445E">
                        <w:pPr>
                          <w:rPr>
                            <w:rFonts w:eastAsia="Times New Roman"/>
                          </w:rPr>
                        </w:pPr>
                      </w:p>
                    </w:tc>
                    <w:tc>
                      <w:tcPr>
                        <w:tcW w:w="3450" w:type="dxa"/>
                        <w:tcBorders>
                          <w:top w:val="nil"/>
                          <w:left w:val="nil"/>
                          <w:bottom w:val="nil"/>
                          <w:right w:val="nil"/>
                        </w:tcBorders>
                        <w:vAlign w:val="center"/>
                        <w:hideMark/>
                      </w:tcPr>
                      <w:p w14:paraId="4C0C73BF" w14:textId="77777777" w:rsidR="00E3445E" w:rsidRDefault="00E3445E">
                        <w:pPr>
                          <w:pStyle w:val="Heading1"/>
                          <w:rPr>
                            <w:rFonts w:eastAsia="Times New Roman"/>
                          </w:rPr>
                        </w:pPr>
                        <w:r>
                          <w:rPr>
                            <w:rFonts w:eastAsia="Times New Roman"/>
                          </w:rPr>
                          <w:t>Daily Update </w:t>
                        </w:r>
                      </w:p>
                    </w:tc>
                  </w:tr>
                  <w:tr w:rsidR="00E3445E" w14:paraId="228548B3" w14:textId="77777777">
                    <w:trPr>
                      <w:tblCellSpacing w:w="0" w:type="dxa"/>
                    </w:trPr>
                    <w:tc>
                      <w:tcPr>
                        <w:tcW w:w="0" w:type="auto"/>
                        <w:vMerge/>
                        <w:tcBorders>
                          <w:top w:val="nil"/>
                          <w:left w:val="nil"/>
                          <w:bottom w:val="single" w:sz="2" w:space="0" w:color="FFFFFF"/>
                          <w:right w:val="nil"/>
                        </w:tcBorders>
                        <w:vAlign w:val="center"/>
                        <w:hideMark/>
                      </w:tcPr>
                      <w:p w14:paraId="55735B1C" w14:textId="77777777" w:rsidR="00E3445E" w:rsidRDefault="00E3445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57B33F6" w14:textId="77777777" w:rsidR="00E3445E" w:rsidRDefault="00E3445E">
                        <w:pPr>
                          <w:pStyle w:val="Heading2"/>
                          <w:rPr>
                            <w:rFonts w:eastAsia="Times New Roman"/>
                            <w:color w:val="93378A"/>
                          </w:rPr>
                        </w:pPr>
                        <w:r>
                          <w:rPr>
                            <w:rFonts w:eastAsia="Times New Roman"/>
                            <w:color w:val="93378A"/>
                          </w:rPr>
                          <w:t>Monday 5th July 2021</w:t>
                        </w:r>
                      </w:p>
                    </w:tc>
                  </w:tr>
                </w:tbl>
                <w:p w14:paraId="6E42B6D1" w14:textId="77777777" w:rsidR="00E3445E" w:rsidRDefault="00E3445E">
                  <w:pPr>
                    <w:rPr>
                      <w:rFonts w:ascii="Times New Roman" w:eastAsia="Times New Roman" w:hAnsi="Times New Roman" w:cs="Times New Roman"/>
                      <w:sz w:val="20"/>
                      <w:szCs w:val="20"/>
                    </w:rPr>
                  </w:pPr>
                </w:p>
              </w:tc>
            </w:tr>
            <w:tr w:rsidR="00E3445E" w14:paraId="643C127F" w14:textId="77777777">
              <w:tblPrEx>
                <w:shd w:val="clear" w:color="auto" w:fill="auto"/>
              </w:tblPrEx>
              <w:trPr>
                <w:tblCellSpacing w:w="0" w:type="dxa"/>
                <w:jc w:val="center"/>
              </w:trPr>
              <w:tc>
                <w:tcPr>
                  <w:tcW w:w="9000" w:type="dxa"/>
                  <w:hideMark/>
                </w:tcPr>
                <w:p w14:paraId="2ACBB719" w14:textId="033780B8" w:rsidR="00E3445E" w:rsidRDefault="00E3445E">
                  <w:pPr>
                    <w:rPr>
                      <w:rFonts w:eastAsia="Times New Roman"/>
                    </w:rPr>
                  </w:pPr>
                  <w:r>
                    <w:rPr>
                      <w:rFonts w:eastAsia="Times New Roman"/>
                      <w:noProof/>
                    </w:rPr>
                    <w:drawing>
                      <wp:inline distT="0" distB="0" distL="0" distR="0" wp14:anchorId="6AD1EC33" wp14:editId="0D07E70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3445E" w14:paraId="7C2E1ED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3445E" w14:paraId="36FA4A1A" w14:textId="77777777">
                    <w:trPr>
                      <w:trHeight w:val="150"/>
                      <w:tblCellSpacing w:w="15" w:type="dxa"/>
                      <w:jc w:val="center"/>
                    </w:trPr>
                    <w:tc>
                      <w:tcPr>
                        <w:tcW w:w="150" w:type="dxa"/>
                        <w:vAlign w:val="center"/>
                        <w:hideMark/>
                      </w:tcPr>
                      <w:p w14:paraId="6F9E78DC" w14:textId="77777777" w:rsidR="00E3445E" w:rsidRDefault="00E3445E">
                        <w:pPr>
                          <w:rPr>
                            <w:rFonts w:eastAsia="Times New Roman"/>
                          </w:rPr>
                        </w:pPr>
                      </w:p>
                    </w:tc>
                    <w:tc>
                      <w:tcPr>
                        <w:tcW w:w="8700" w:type="dxa"/>
                        <w:vAlign w:val="center"/>
                        <w:hideMark/>
                      </w:tcPr>
                      <w:p w14:paraId="2D8F9140" w14:textId="77777777" w:rsidR="00E3445E" w:rsidRDefault="00E3445E">
                        <w:pPr>
                          <w:rPr>
                            <w:rFonts w:ascii="Times New Roman" w:eastAsia="Times New Roman" w:hAnsi="Times New Roman" w:cs="Times New Roman"/>
                            <w:sz w:val="20"/>
                            <w:szCs w:val="20"/>
                          </w:rPr>
                        </w:pPr>
                      </w:p>
                    </w:tc>
                    <w:tc>
                      <w:tcPr>
                        <w:tcW w:w="150" w:type="dxa"/>
                        <w:vAlign w:val="center"/>
                        <w:hideMark/>
                      </w:tcPr>
                      <w:p w14:paraId="77C40B81" w14:textId="77777777" w:rsidR="00E3445E" w:rsidRDefault="00E3445E">
                        <w:pPr>
                          <w:rPr>
                            <w:rFonts w:ascii="Times New Roman" w:eastAsia="Times New Roman" w:hAnsi="Times New Roman" w:cs="Times New Roman"/>
                            <w:sz w:val="20"/>
                            <w:szCs w:val="20"/>
                          </w:rPr>
                        </w:pPr>
                      </w:p>
                    </w:tc>
                  </w:tr>
                  <w:tr w:rsidR="00E3445E" w14:paraId="21CBC3F3" w14:textId="77777777">
                    <w:trPr>
                      <w:tblCellSpacing w:w="15" w:type="dxa"/>
                      <w:jc w:val="center"/>
                    </w:trPr>
                    <w:tc>
                      <w:tcPr>
                        <w:tcW w:w="150" w:type="dxa"/>
                        <w:vAlign w:val="center"/>
                        <w:hideMark/>
                      </w:tcPr>
                      <w:p w14:paraId="3AF99333" w14:textId="77777777" w:rsidR="00E3445E" w:rsidRDefault="00E3445E">
                        <w:pPr>
                          <w:rPr>
                            <w:rFonts w:ascii="Times New Roman" w:eastAsia="Times New Roman" w:hAnsi="Times New Roman" w:cs="Times New Roman"/>
                            <w:sz w:val="20"/>
                            <w:szCs w:val="20"/>
                          </w:rPr>
                        </w:pPr>
                      </w:p>
                    </w:tc>
                    <w:tc>
                      <w:tcPr>
                        <w:tcW w:w="8700" w:type="dxa"/>
                        <w:vAlign w:val="center"/>
                        <w:hideMark/>
                      </w:tcPr>
                      <w:p w14:paraId="1390D782" w14:textId="77777777" w:rsidR="00E3445E" w:rsidRDefault="00E3445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6A850BF" w14:textId="77777777" w:rsidR="00E3445E" w:rsidRDefault="00E344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25F4FF3">
                            <v:rect id="_x0000_i1032" style="width:468pt;height:1.5pt" o:hralign="center" o:hrstd="t" o:hr="t" fillcolor="#a0a0a0" stroked="f"/>
                          </w:pict>
                        </w:r>
                      </w:p>
                      <w:p w14:paraId="722E83E7" w14:textId="77777777" w:rsidR="00E3445E" w:rsidRDefault="00E3445E">
                        <w:pPr>
                          <w:pStyle w:val="Heading2"/>
                          <w:rPr>
                            <w:rFonts w:eastAsia="Times New Roman"/>
                          </w:rPr>
                        </w:pPr>
                        <w:r>
                          <w:rPr>
                            <w:rFonts w:eastAsia="Times New Roman"/>
                          </w:rPr>
                          <w:t>In today's update: C-19 costs claiming period begins; CPAF screening deadline; C-19 vaccine study; LHCR case study.</w:t>
                        </w:r>
                      </w:p>
                      <w:p w14:paraId="7D8730EC" w14:textId="77777777" w:rsidR="00E3445E" w:rsidRDefault="00E344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D8AD4A6">
                            <v:rect id="_x0000_i1033" style="width:468pt;height:1.5pt" o:hralign="center" o:hrstd="t" o:hr="t" fillcolor="#a0a0a0" stroked="f"/>
                          </w:pict>
                        </w:r>
                      </w:p>
                      <w:p w14:paraId="466CBF40" w14:textId="77777777" w:rsidR="00E3445E" w:rsidRDefault="00E3445E">
                        <w:pPr>
                          <w:pStyle w:val="Heading3"/>
                          <w:rPr>
                            <w:rFonts w:eastAsia="Times New Roman"/>
                          </w:rPr>
                        </w:pPr>
                        <w:r>
                          <w:rPr>
                            <w:rFonts w:eastAsia="Times New Roman"/>
                          </w:rPr>
                          <w:t xml:space="preserve">COVID-19 Costs: Claiming period </w:t>
                        </w:r>
                        <w:proofErr w:type="gramStart"/>
                        <w:r>
                          <w:rPr>
                            <w:rFonts w:eastAsia="Times New Roman"/>
                          </w:rPr>
                          <w:t>begins</w:t>
                        </w:r>
                        <w:proofErr w:type="gramEnd"/>
                      </w:p>
                      <w:p w14:paraId="54F1DB48" w14:textId="682B6B36" w:rsidR="00E3445E" w:rsidRDefault="00E3445E" w:rsidP="00E344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six-week period for community pharmacy contractors to claim for the extra costs they incurred due to the COVID-19 pandemic begins today, </w:t>
                        </w:r>
                        <w:r>
                          <w:rPr>
                            <w:rStyle w:val="Strong"/>
                            <w:rFonts w:ascii="Tahoma" w:eastAsia="Times New Roman" w:hAnsi="Tahoma" w:cs="Tahoma"/>
                            <w:color w:val="303030"/>
                            <w:sz w:val="21"/>
                            <w:szCs w:val="21"/>
                          </w:rPr>
                          <w:t>Monday 5th July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Under the </w:t>
                        </w:r>
                        <w:hyperlink r:id="rId8" w:tgtFrame="_blank" w:history="1">
                          <w:r>
                            <w:rPr>
                              <w:rStyle w:val="Hyperlink"/>
                              <w:rFonts w:ascii="Tahoma" w:eastAsia="Times New Roman" w:hAnsi="Tahoma" w:cs="Tahoma"/>
                              <w:b/>
                              <w:bCs/>
                              <w:color w:val="4E3487"/>
                              <w:sz w:val="21"/>
                              <w:szCs w:val="21"/>
                            </w:rPr>
                            <w:t>deal reached between PSNC and HM Government</w:t>
                          </w:r>
                        </w:hyperlink>
                        <w:r>
                          <w:rPr>
                            <w:rFonts w:ascii="Tahoma" w:eastAsia="Times New Roman" w:hAnsi="Tahoma" w:cs="Tahoma"/>
                            <w:color w:val="303030"/>
                            <w:sz w:val="21"/>
                            <w:szCs w:val="21"/>
                          </w:rPr>
                          <w:t xml:space="preserve"> last week, contractors can claim for specific categories of COVID-19 related costs incurred between </w:t>
                        </w:r>
                        <w:r>
                          <w:rPr>
                            <w:rStyle w:val="Strong"/>
                            <w:rFonts w:ascii="Tahoma" w:eastAsia="Times New Roman" w:hAnsi="Tahoma" w:cs="Tahoma"/>
                            <w:color w:val="303030"/>
                            <w:sz w:val="21"/>
                            <w:szCs w:val="21"/>
                          </w:rPr>
                          <w:t>1st March 2020 and 31st March 2021</w:t>
                        </w:r>
                        <w:r>
                          <w:rPr>
                            <w:rFonts w:ascii="Tahoma" w:eastAsia="Times New Roman" w:hAnsi="Tahoma" w:cs="Tahoma"/>
                            <w:color w:val="303030"/>
                            <w:sz w:val="21"/>
                            <w:szCs w:val="21"/>
                          </w:rPr>
                          <w:t xml:space="preserve"> for the delivery of NHS pharmaceutical services using an agreed claim form provided by the NHS Business Services Authority (NHSBSA).</w:t>
                        </w:r>
                        <w:r>
                          <w:rPr>
                            <w:rFonts w:ascii="Tahoma" w:eastAsia="Times New Roman" w:hAnsi="Tahoma" w:cs="Tahoma"/>
                            <w:color w:val="303030"/>
                            <w:sz w:val="21"/>
                            <w:szCs w:val="21"/>
                          </w:rPr>
                          <w:br/>
                        </w:r>
                        <w:r>
                          <w:rPr>
                            <w:rFonts w:ascii="Tahoma" w:eastAsia="Times New Roman" w:hAnsi="Tahoma" w:cs="Tahoma"/>
                            <w:color w:val="303030"/>
                            <w:sz w:val="21"/>
                            <w:szCs w:val="21"/>
                          </w:rPr>
                          <w:br/>
                          <w:t>The claim form asks contractors to set out their costs according to these categories and to indicate their evidence for them. Contractors must think carefully when making their claims as the Department of Health and Social Care (DHSC) has not set out detailed evidence requirements. Contractors with two or more branches will be able to submit a single claim and provide documentation to evidence claims at a company level.</w:t>
                        </w:r>
                        <w:r>
                          <w:rPr>
                            <w:rFonts w:ascii="Tahoma" w:eastAsia="Times New Roman" w:hAnsi="Tahoma" w:cs="Tahoma"/>
                            <w:color w:val="303030"/>
                            <w:sz w:val="21"/>
                            <w:szCs w:val="21"/>
                          </w:rPr>
                          <w:br/>
                        </w:r>
                        <w:r>
                          <w:rPr>
                            <w:rFonts w:ascii="Tahoma" w:eastAsia="Times New Roman" w:hAnsi="Tahoma" w:cs="Tahoma"/>
                            <w:color w:val="303030"/>
                            <w:sz w:val="21"/>
                            <w:szCs w:val="21"/>
                          </w:rPr>
                          <w:br/>
                          <w:t>PSNC will be issuing a series of guides to support contractors in making their claims. The first of these has been published today.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tooltip="https://psnc.org.uk/our-news/covid-19-costs-claiming-period-begins/" w:history="1">
                          <w:r>
                            <w:rPr>
                              <w:rStyle w:val="Hyperlink"/>
                              <w:rFonts w:ascii="Tahoma" w:eastAsia="Times New Roman" w:hAnsi="Tahoma" w:cs="Tahoma"/>
                              <w:b/>
                              <w:bCs/>
                              <w:color w:val="4E3487"/>
                              <w:sz w:val="21"/>
                              <w:szCs w:val="21"/>
                            </w:rPr>
                            <w:t>Read PSNC's guidance and learn more about the claims process </w:t>
                          </w:r>
                        </w:hyperlink>
                        <w:r>
                          <w:rPr>
                            <w:rFonts w:ascii="Tahoma" w:eastAsia="Times New Roman" w:hAnsi="Tahoma" w:cs="Tahoma"/>
                            <w:color w:val="303030"/>
                            <w:sz w:val="21"/>
                            <w:szCs w:val="21"/>
                          </w:rPr>
                          <w:t xml:space="preserve">    </w:t>
                        </w:r>
                      </w:p>
                      <w:p w14:paraId="5D763B9C" w14:textId="77777777" w:rsidR="00E3445E" w:rsidRDefault="00E344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20CC710">
                            <v:rect id="_x0000_i1034" style="width:468pt;height:1.5pt" o:hralign="center" o:hrstd="t" o:hr="t" fillcolor="#a0a0a0" stroked="f"/>
                          </w:pict>
                        </w:r>
                      </w:p>
                      <w:p w14:paraId="1BD9C370" w14:textId="77777777" w:rsidR="00E3445E" w:rsidRDefault="00E3445E">
                        <w:pPr>
                          <w:pStyle w:val="Heading3"/>
                          <w:rPr>
                            <w:rFonts w:eastAsia="Times New Roman"/>
                          </w:rPr>
                        </w:pPr>
                        <w:r>
                          <w:rPr>
                            <w:rFonts w:eastAsia="Times New Roman"/>
                          </w:rPr>
                          <w:t>3 weeks left to complete CPAF 2021/2022</w:t>
                        </w:r>
                      </w:p>
                      <w:p w14:paraId="0C2B6B85" w14:textId="4C760F07" w:rsidR="00E3445E" w:rsidRDefault="00E3445E" w:rsidP="00E344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they have until </w:t>
                        </w:r>
                        <w:r>
                          <w:rPr>
                            <w:rStyle w:val="Strong"/>
                            <w:rFonts w:ascii="Tahoma" w:eastAsia="Times New Roman" w:hAnsi="Tahoma" w:cs="Tahoma"/>
                            <w:color w:val="303030"/>
                            <w:sz w:val="21"/>
                            <w:szCs w:val="21"/>
                          </w:rPr>
                          <w:t>midnight on Saturday 24th July 2021</w:t>
                        </w:r>
                        <w:r>
                          <w:rPr>
                            <w:rFonts w:ascii="Tahoma" w:eastAsia="Times New Roman" w:hAnsi="Tahoma" w:cs="Tahoma"/>
                            <w:color w:val="303030"/>
                            <w:sz w:val="21"/>
                            <w:szCs w:val="21"/>
                          </w:rPr>
                          <w:t> to complete the Community Pharmacy Assurance Framework (CPAF) screening questionnaire for each of their NHS pharmacies: 3,558 pharmacies have already done so.</w:t>
                        </w:r>
                        <w:r>
                          <w:rPr>
                            <w:rFonts w:ascii="Tahoma" w:eastAsia="Times New Roman" w:hAnsi="Tahoma" w:cs="Tahoma"/>
                            <w:color w:val="303030"/>
                            <w:sz w:val="21"/>
                            <w:szCs w:val="21"/>
                          </w:rPr>
                          <w:br/>
                        </w:r>
                        <w:r>
                          <w:rPr>
                            <w:rFonts w:ascii="Tahoma" w:eastAsia="Times New Roman" w:hAnsi="Tahoma" w:cs="Tahoma"/>
                            <w:color w:val="303030"/>
                            <w:sz w:val="21"/>
                            <w:szCs w:val="21"/>
                          </w:rPr>
                          <w:br/>
                          <w:t>Contractors yet to complete the questionnaire should read </w:t>
                        </w:r>
                        <w:hyperlink r:id="rId10" w:history="1">
                          <w:r>
                            <w:rPr>
                              <w:rStyle w:val="Strong"/>
                              <w:rFonts w:ascii="Tahoma" w:eastAsia="Times New Roman" w:hAnsi="Tahoma" w:cs="Tahoma"/>
                              <w:color w:val="4E3487"/>
                              <w:sz w:val="21"/>
                              <w:szCs w:val="21"/>
                            </w:rPr>
                            <w:t>PSNC's Briefing on the CPAF screening process for 2021/22</w:t>
                          </w:r>
                        </w:hyperlink>
                        <w:r>
                          <w:rPr>
                            <w:rFonts w:ascii="Tahoma" w:eastAsia="Times New Roman" w:hAnsi="Tahoma" w:cs="Tahoma"/>
                            <w:color w:val="303030"/>
                            <w:sz w:val="21"/>
                            <w:szCs w:val="21"/>
                          </w:rPr>
                          <w:t xml:space="preserve">, as this explains the changes from the last CPAF process and provides guidance on the new questions. </w:t>
                        </w:r>
                      </w:p>
                      <w:p w14:paraId="78C879E5" w14:textId="77777777" w:rsidR="00E3445E" w:rsidRDefault="00E344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F3D73E0">
                            <v:rect id="_x0000_i1035" style="width:468pt;height:1.5pt" o:hralign="center" o:hrstd="t" o:hr="t" fillcolor="#a0a0a0" stroked="f"/>
                          </w:pict>
                        </w:r>
                      </w:p>
                      <w:p w14:paraId="3DF94951" w14:textId="77777777" w:rsidR="00E3445E" w:rsidRDefault="00E3445E">
                        <w:pPr>
                          <w:pStyle w:val="Heading3"/>
                          <w:rPr>
                            <w:rFonts w:eastAsia="Times New Roman"/>
                          </w:rPr>
                        </w:pPr>
                        <w:r>
                          <w:rPr>
                            <w:rFonts w:eastAsia="Times New Roman"/>
                          </w:rPr>
                          <w:t xml:space="preserve">Encouraging patients to support COVID-19 vaccine </w:t>
                        </w:r>
                        <w:proofErr w:type="gramStart"/>
                        <w:r>
                          <w:rPr>
                            <w:rFonts w:eastAsia="Times New Roman"/>
                          </w:rPr>
                          <w:t>study</w:t>
                        </w:r>
                        <w:proofErr w:type="gramEnd"/>
                      </w:p>
                      <w:p w14:paraId="1F7E7D79" w14:textId="7279F9EE" w:rsidR="00E3445E" w:rsidRDefault="00E3445E" w:rsidP="00E344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Pharmacy teams are asked to encourage patients who have recently had a COVID-19 vaccine to participate in a safety study about the vaccines to ensure that any side effects are swiftly recognised and acted upon.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how your pharmacy team can help</w:t>
                          </w:r>
                        </w:hyperlink>
                        <w:r>
                          <w:rPr>
                            <w:rFonts w:ascii="Tahoma" w:eastAsia="Times New Roman" w:hAnsi="Tahoma" w:cs="Tahoma"/>
                            <w:color w:val="303030"/>
                            <w:sz w:val="21"/>
                            <w:szCs w:val="21"/>
                          </w:rPr>
                          <w:t xml:space="preserve"> </w:t>
                        </w:r>
                      </w:p>
                      <w:p w14:paraId="52A044A7" w14:textId="77777777" w:rsidR="00E3445E" w:rsidRDefault="00E3445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39321A9">
                            <v:rect id="_x0000_i1036" style="width:468pt;height:1.5pt" o:hralign="center" o:hrstd="t" o:hr="t" fillcolor="#a0a0a0" stroked="f"/>
                          </w:pict>
                        </w:r>
                      </w:p>
                      <w:p w14:paraId="69768F43" w14:textId="77777777" w:rsidR="00E3445E" w:rsidRDefault="00E3445E">
                        <w:pPr>
                          <w:pStyle w:val="Heading3"/>
                          <w:rPr>
                            <w:rFonts w:eastAsia="Times New Roman"/>
                          </w:rPr>
                        </w:pPr>
                        <w:r>
                          <w:rPr>
                            <w:rFonts w:eastAsia="Times New Roman"/>
                          </w:rPr>
                          <w:t>Pharmacies benefit from access to East London Record system</w:t>
                        </w:r>
                      </w:p>
                      <w:p w14:paraId="0462D9F5" w14:textId="57B9157B" w:rsidR="00E3445E" w:rsidRDefault="00E3445E" w:rsidP="00E3445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Pharmacies in parts of East London as well as the City of London and Hackney have started accessing the </w:t>
                        </w:r>
                        <w:hyperlink r:id="rId12" w:tgtFrame="_blank" w:history="1">
                          <w:r>
                            <w:rPr>
                              <w:rStyle w:val="Hyperlink"/>
                              <w:rFonts w:ascii="Tahoma" w:eastAsia="Times New Roman" w:hAnsi="Tahoma" w:cs="Tahoma"/>
                              <w:b/>
                              <w:bCs/>
                              <w:color w:val="4E3487"/>
                              <w:sz w:val="21"/>
                              <w:szCs w:val="21"/>
                            </w:rPr>
                            <w:t>East London Patient Record (</w:t>
                          </w:r>
                          <w:proofErr w:type="spellStart"/>
                          <w:r>
                            <w:rPr>
                              <w:rStyle w:val="Hyperlink"/>
                              <w:rFonts w:ascii="Tahoma" w:eastAsia="Times New Roman" w:hAnsi="Tahoma" w:cs="Tahoma"/>
                              <w:b/>
                              <w:bCs/>
                              <w:color w:val="4E3487"/>
                              <w:sz w:val="21"/>
                              <w:szCs w:val="21"/>
                            </w:rPr>
                            <w:t>eLPR</w:t>
                          </w:r>
                          <w:proofErr w:type="spellEnd"/>
                          <w:r>
                            <w:rPr>
                              <w:rStyle w:val="Hyperlink"/>
                              <w:rFonts w:ascii="Tahoma" w:eastAsia="Times New Roman" w:hAnsi="Tahoma" w:cs="Tahoma"/>
                              <w:b/>
                              <w:bCs/>
                              <w:color w:val="4E3487"/>
                              <w:sz w:val="21"/>
                              <w:szCs w:val="21"/>
                            </w:rPr>
                            <w:t>)</w:t>
                          </w:r>
                        </w:hyperlink>
                        <w:r>
                          <w:rPr>
                            <w:rFonts w:ascii="Tahoma" w:eastAsia="Times New Roman" w:hAnsi="Tahoma" w:cs="Tahoma"/>
                            <w:color w:val="303030"/>
                            <w:sz w:val="21"/>
                            <w:szCs w:val="21"/>
                          </w:rPr>
                          <w:t>, which is a type of Local health and shared care record (</w:t>
                        </w:r>
                        <w:hyperlink r:id="rId13" w:tgtFrame="_blank" w:history="1">
                          <w:r>
                            <w:rPr>
                              <w:rStyle w:val="Hyperlink"/>
                              <w:rFonts w:ascii="Tahoma" w:eastAsia="Times New Roman" w:hAnsi="Tahoma" w:cs="Tahoma"/>
                              <w:b/>
                              <w:bCs/>
                              <w:color w:val="4E3487"/>
                              <w:sz w:val="21"/>
                              <w:szCs w:val="21"/>
                            </w:rPr>
                            <w:t>LHCR</w:t>
                          </w:r>
                        </w:hyperlink>
                        <w:r>
                          <w:rPr>
                            <w:rFonts w:ascii="Tahoma" w:eastAsia="Times New Roman" w:hAnsi="Tahoma" w:cs="Tahoma"/>
                            <w:color w:val="303030"/>
                            <w:sz w:val="21"/>
                            <w:szCs w:val="21"/>
                          </w:rPr>
                          <w:t>). PSNC and the Community Pharmacy IT Group (</w:t>
                        </w:r>
                        <w:hyperlink r:id="rId14" w:tgtFrame="_blank" w:history="1">
                          <w:r>
                            <w:rPr>
                              <w:rStyle w:val="Strong"/>
                              <w:rFonts w:ascii="Tahoma" w:eastAsia="Times New Roman" w:hAnsi="Tahoma" w:cs="Tahoma"/>
                              <w:color w:val="4E3487"/>
                              <w:sz w:val="21"/>
                              <w:szCs w:val="21"/>
                            </w:rPr>
                            <w:t>CP ITG</w:t>
                          </w:r>
                        </w:hyperlink>
                        <w:r>
                          <w:rPr>
                            <w:rFonts w:ascii="Tahoma" w:eastAsia="Times New Roman" w:hAnsi="Tahoma" w:cs="Tahoma"/>
                            <w:color w:val="303030"/>
                            <w:sz w:val="21"/>
                            <w:szCs w:val="21"/>
                          </w:rPr>
                          <w:t>) encourage contractors and LPCs to get involved with shared care records and LHCR programmes within their area.</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Learn about the benefits of pharmacy access to LHCRs</w:t>
                          </w:r>
                        </w:hyperlink>
                      </w:p>
                    </w:tc>
                    <w:tc>
                      <w:tcPr>
                        <w:tcW w:w="150" w:type="dxa"/>
                        <w:vAlign w:val="center"/>
                        <w:hideMark/>
                      </w:tcPr>
                      <w:p w14:paraId="5F502C99" w14:textId="77777777" w:rsidR="00E3445E" w:rsidRDefault="00E3445E">
                        <w:pPr>
                          <w:rPr>
                            <w:rFonts w:ascii="Tahoma" w:eastAsia="Times New Roman" w:hAnsi="Tahoma" w:cs="Tahoma"/>
                            <w:color w:val="303030"/>
                            <w:sz w:val="21"/>
                            <w:szCs w:val="21"/>
                          </w:rPr>
                        </w:pPr>
                      </w:p>
                    </w:tc>
                  </w:tr>
                  <w:tr w:rsidR="00E3445E" w14:paraId="25353174" w14:textId="77777777">
                    <w:trPr>
                      <w:trHeight w:val="150"/>
                      <w:tblCellSpacing w:w="15" w:type="dxa"/>
                      <w:jc w:val="center"/>
                    </w:trPr>
                    <w:tc>
                      <w:tcPr>
                        <w:tcW w:w="150" w:type="dxa"/>
                        <w:vAlign w:val="center"/>
                        <w:hideMark/>
                      </w:tcPr>
                      <w:p w14:paraId="2128F701" w14:textId="77777777" w:rsidR="00E3445E" w:rsidRDefault="00E3445E">
                        <w:pPr>
                          <w:rPr>
                            <w:rFonts w:ascii="Times New Roman" w:eastAsia="Times New Roman" w:hAnsi="Times New Roman" w:cs="Times New Roman"/>
                            <w:sz w:val="20"/>
                            <w:szCs w:val="20"/>
                          </w:rPr>
                        </w:pPr>
                      </w:p>
                    </w:tc>
                    <w:tc>
                      <w:tcPr>
                        <w:tcW w:w="8700" w:type="dxa"/>
                        <w:vAlign w:val="center"/>
                        <w:hideMark/>
                      </w:tcPr>
                      <w:p w14:paraId="3B989DE8" w14:textId="77777777" w:rsidR="00E3445E" w:rsidRDefault="00E3445E">
                        <w:pPr>
                          <w:rPr>
                            <w:rFonts w:ascii="Times New Roman" w:eastAsia="Times New Roman" w:hAnsi="Times New Roman" w:cs="Times New Roman"/>
                            <w:sz w:val="20"/>
                            <w:szCs w:val="20"/>
                          </w:rPr>
                        </w:pPr>
                      </w:p>
                    </w:tc>
                    <w:tc>
                      <w:tcPr>
                        <w:tcW w:w="150" w:type="dxa"/>
                        <w:vAlign w:val="center"/>
                        <w:hideMark/>
                      </w:tcPr>
                      <w:p w14:paraId="68EE9E20" w14:textId="77777777" w:rsidR="00E3445E" w:rsidRDefault="00E3445E">
                        <w:pPr>
                          <w:rPr>
                            <w:rFonts w:ascii="Times New Roman" w:eastAsia="Times New Roman" w:hAnsi="Times New Roman" w:cs="Times New Roman"/>
                            <w:sz w:val="20"/>
                            <w:szCs w:val="20"/>
                          </w:rPr>
                        </w:pPr>
                      </w:p>
                    </w:tc>
                  </w:tr>
                </w:tbl>
                <w:p w14:paraId="04B70457" w14:textId="77777777" w:rsidR="00E3445E" w:rsidRDefault="00E3445E">
                  <w:pPr>
                    <w:jc w:val="center"/>
                    <w:rPr>
                      <w:rFonts w:ascii="Times New Roman" w:eastAsia="Times New Roman" w:hAnsi="Times New Roman" w:cs="Times New Roman"/>
                      <w:sz w:val="20"/>
                      <w:szCs w:val="20"/>
                    </w:rPr>
                  </w:pPr>
                </w:p>
              </w:tc>
            </w:tr>
          </w:tbl>
          <w:p w14:paraId="106343BB" w14:textId="77777777" w:rsidR="00E3445E" w:rsidRDefault="00E3445E">
            <w:pPr>
              <w:jc w:val="center"/>
              <w:rPr>
                <w:rFonts w:ascii="Times New Roman" w:eastAsia="Times New Roman" w:hAnsi="Times New Roman" w:cs="Times New Roman"/>
                <w:sz w:val="20"/>
                <w:szCs w:val="20"/>
              </w:rPr>
            </w:pPr>
          </w:p>
        </w:tc>
      </w:tr>
      <w:tr w:rsidR="00E3445E" w14:paraId="45706133" w14:textId="77777777" w:rsidTr="00E3445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3445E" w14:paraId="2E43C4C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3445E" w14:paraId="420E5522" w14:textId="77777777">
                    <w:trPr>
                      <w:tblCellSpacing w:w="0" w:type="dxa"/>
                      <w:jc w:val="center"/>
                    </w:trPr>
                    <w:tc>
                      <w:tcPr>
                        <w:tcW w:w="3000" w:type="dxa"/>
                        <w:tcMar>
                          <w:top w:w="30" w:type="dxa"/>
                          <w:left w:w="75" w:type="dxa"/>
                          <w:bottom w:w="30" w:type="dxa"/>
                          <w:right w:w="75" w:type="dxa"/>
                        </w:tcMar>
                        <w:hideMark/>
                      </w:tcPr>
                      <w:p w14:paraId="284E579C" w14:textId="77777777" w:rsidR="00E3445E" w:rsidRDefault="00E3445E">
                        <w:pPr>
                          <w:pStyle w:val="Heading4"/>
                          <w:jc w:val="center"/>
                          <w:rPr>
                            <w:rFonts w:eastAsia="Times New Roman"/>
                          </w:rPr>
                        </w:pPr>
                        <w:r>
                          <w:rPr>
                            <w:rFonts w:eastAsia="Times New Roman"/>
                          </w:rPr>
                          <w:lastRenderedPageBreak/>
                          <w:t>Pharmaceutical Services Negotiating Committee</w:t>
                        </w:r>
                      </w:p>
                      <w:p w14:paraId="6083CF11" w14:textId="55AA0A85" w:rsidR="00E3445E" w:rsidRDefault="00E3445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7F0D3D" wp14:editId="47104168">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2BA384" wp14:editId="7264D0FC">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42CEE4C" wp14:editId="0499B9AD">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ABEB04D" wp14:editId="00669AF2">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BAB9F62" w14:textId="77777777" w:rsidR="00E3445E" w:rsidRDefault="00E3445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3445E" w14:paraId="76B4F9E9" w14:textId="77777777">
                    <w:trPr>
                      <w:trHeight w:val="450"/>
                      <w:tblCellSpacing w:w="0" w:type="dxa"/>
                      <w:jc w:val="center"/>
                    </w:trPr>
                    <w:tc>
                      <w:tcPr>
                        <w:tcW w:w="9000" w:type="dxa"/>
                        <w:tcMar>
                          <w:top w:w="150" w:type="dxa"/>
                          <w:left w:w="0" w:type="dxa"/>
                          <w:bottom w:w="0" w:type="dxa"/>
                          <w:right w:w="0" w:type="dxa"/>
                        </w:tcMar>
                        <w:vAlign w:val="center"/>
                        <w:hideMark/>
                      </w:tcPr>
                      <w:p w14:paraId="3AE4CDB9" w14:textId="65325A24" w:rsidR="00E3445E" w:rsidRDefault="00E3445E" w:rsidP="00E3445E">
                        <w:pPr>
                          <w:rPr>
                            <w:rFonts w:ascii="Arial" w:eastAsia="Times New Roman" w:hAnsi="Arial" w:cs="Arial"/>
                            <w:color w:val="FFFFFF"/>
                            <w:sz w:val="17"/>
                            <w:szCs w:val="17"/>
                          </w:rPr>
                        </w:pPr>
                      </w:p>
                    </w:tc>
                  </w:tr>
                </w:tbl>
                <w:p w14:paraId="17E45955" w14:textId="77777777" w:rsidR="00E3445E" w:rsidRDefault="00E3445E">
                  <w:pPr>
                    <w:jc w:val="center"/>
                    <w:rPr>
                      <w:rFonts w:ascii="Times New Roman" w:eastAsia="Times New Roman" w:hAnsi="Times New Roman" w:cs="Times New Roman"/>
                      <w:sz w:val="20"/>
                      <w:szCs w:val="20"/>
                    </w:rPr>
                  </w:pPr>
                </w:p>
              </w:tc>
            </w:tr>
          </w:tbl>
          <w:p w14:paraId="78E006C3" w14:textId="77777777" w:rsidR="00E3445E" w:rsidRDefault="00E3445E">
            <w:pPr>
              <w:jc w:val="center"/>
              <w:rPr>
                <w:rFonts w:ascii="Times New Roman" w:eastAsia="Times New Roman" w:hAnsi="Times New Roman" w:cs="Times New Roman"/>
                <w:sz w:val="20"/>
                <w:szCs w:val="20"/>
              </w:rPr>
            </w:pPr>
          </w:p>
        </w:tc>
      </w:tr>
    </w:tbl>
    <w:p w14:paraId="034DACD6" w14:textId="1AC1BB9D" w:rsidR="00E3445E" w:rsidRDefault="00E3445E" w:rsidP="00E3445E">
      <w:pPr>
        <w:rPr>
          <w:rFonts w:eastAsia="Times New Roman"/>
        </w:rPr>
      </w:pPr>
      <w:r>
        <w:rPr>
          <w:rFonts w:eastAsia="Times New Roman"/>
          <w:noProof/>
        </w:rPr>
        <w:drawing>
          <wp:inline distT="0" distB="0" distL="0" distR="0" wp14:anchorId="407E59E2" wp14:editId="017C5B2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3491B1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5E"/>
    <w:rsid w:val="00DD1890"/>
    <w:rsid w:val="00E34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FB6F"/>
  <w15:chartTrackingRefBased/>
  <w15:docId w15:val="{DAFFE721-F066-42FA-94A2-62F89995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5E"/>
    <w:rPr>
      <w:rFonts w:ascii="Calibri" w:hAnsi="Calibri" w:cs="Calibri"/>
      <w:lang w:eastAsia="en-GB"/>
    </w:rPr>
  </w:style>
  <w:style w:type="paragraph" w:styleId="Heading1">
    <w:name w:val="heading 1"/>
    <w:basedOn w:val="Normal"/>
    <w:link w:val="Heading1Char"/>
    <w:uiPriority w:val="9"/>
    <w:qFormat/>
    <w:rsid w:val="00E3445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3445E"/>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3445E"/>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3445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5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3445E"/>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3445E"/>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3445E"/>
    <w:rPr>
      <w:rFonts w:ascii="Tahoma" w:hAnsi="Tahoma" w:cs="Tahoma"/>
      <w:b/>
      <w:bCs/>
      <w:color w:val="FFFFFF"/>
      <w:sz w:val="18"/>
      <w:szCs w:val="18"/>
      <w:lang w:eastAsia="en-GB"/>
    </w:rPr>
  </w:style>
  <w:style w:type="character" w:styleId="Strong">
    <w:name w:val="Strong"/>
    <w:basedOn w:val="DefaultParagraphFont"/>
    <w:uiPriority w:val="22"/>
    <w:qFormat/>
    <w:rsid w:val="00E3445E"/>
    <w:rPr>
      <w:b/>
      <w:bCs/>
    </w:rPr>
  </w:style>
  <w:style w:type="character" w:styleId="Hyperlink">
    <w:name w:val="Hyperlink"/>
    <w:basedOn w:val="DefaultParagraphFont"/>
    <w:uiPriority w:val="99"/>
    <w:semiHidden/>
    <w:unhideWhenUsed/>
    <w:rsid w:val="00E34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aa25fe6fe&amp;e=d19e9fd41c" TargetMode="External"/><Relationship Id="rId13" Type="http://schemas.openxmlformats.org/officeDocument/2006/relationships/hyperlink" Target="https://psnc.us7.list-manage.com/track/click?u=86d41ab7fa4c7c2c5d7210782&amp;id=3a79eba210&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c0ee18b6c&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30b5fe7b14&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98c30de45b&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545458cd3&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293bc3147e&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f97ca077f5&amp;e=d19e9fd41c" TargetMode="External"/><Relationship Id="rId19" Type="http://schemas.openxmlformats.org/officeDocument/2006/relationships/hyperlink" Target="https://psnc.us7.list-manage.com/track/click?u=86d41ab7fa4c7c2c5d7210782&amp;id=84461dfec2&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559aaaa314&amp;e=d19e9fd41c" TargetMode="External"/><Relationship Id="rId14" Type="http://schemas.openxmlformats.org/officeDocument/2006/relationships/hyperlink" Target="https://psnc.us7.list-manage.com/track/click?u=86d41ab7fa4c7c2c5d7210782&amp;id=806147ba00&amp;e=d19e9fd41c" TargetMode="External"/><Relationship Id="rId22" Type="http://schemas.openxmlformats.org/officeDocument/2006/relationships/hyperlink" Target="https://psnc.us7.list-manage.com/track/click?u=86d41ab7fa4c7c2c5d7210782&amp;id=459d8804ac&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2a7dbd498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2021-07-06T08:02:00Z</dcterms:created>
  <dcterms:modified xsi:type="dcterms:W3CDTF">2021-07-06T08:05:00Z</dcterms:modified>
</cp:coreProperties>
</file>