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C478E" w14:paraId="71CAC362" w14:textId="77777777" w:rsidTr="000C478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C478E" w14:paraId="0711E01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C478E" w14:paraId="6745D3CD" w14:textId="77777777">
                    <w:trPr>
                      <w:tblCellSpacing w:w="0" w:type="dxa"/>
                      <w:jc w:val="center"/>
                    </w:trPr>
                    <w:tc>
                      <w:tcPr>
                        <w:tcW w:w="3000" w:type="dxa"/>
                        <w:hideMark/>
                      </w:tcPr>
                      <w:p w14:paraId="65116468" w14:textId="0CD977E2" w:rsidR="000C478E" w:rsidRDefault="000C478E" w:rsidP="000C478E">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CDB607F" w14:textId="77777777" w:rsidR="000C478E" w:rsidRDefault="000C478E">
                  <w:pPr>
                    <w:jc w:val="center"/>
                    <w:rPr>
                      <w:rFonts w:ascii="Times New Roman" w:eastAsia="Times New Roman" w:hAnsi="Times New Roman" w:cs="Times New Roman"/>
                      <w:sz w:val="20"/>
                      <w:szCs w:val="20"/>
                    </w:rPr>
                  </w:pPr>
                </w:p>
              </w:tc>
            </w:tr>
            <w:tr w:rsidR="000C478E" w14:paraId="31475508"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C478E" w14:paraId="0E3BB0E4"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45169415" w14:textId="24356915" w:rsidR="000C478E" w:rsidRDefault="000C478E">
                        <w:pPr>
                          <w:jc w:val="center"/>
                          <w:rPr>
                            <w:rFonts w:eastAsia="Times New Roman"/>
                          </w:rPr>
                        </w:pPr>
                        <w:r>
                          <w:rPr>
                            <w:rFonts w:eastAsia="Times New Roman"/>
                            <w:noProof/>
                          </w:rPr>
                          <w:drawing>
                            <wp:inline distT="0" distB="0" distL="0" distR="0" wp14:anchorId="30155762" wp14:editId="6343342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C478E" w14:paraId="0EF7EFBB" w14:textId="77777777">
                    <w:trPr>
                      <w:gridAfter w:val="1"/>
                      <w:wAfter w:w="3450" w:type="dxa"/>
                      <w:trHeight w:val="269"/>
                      <w:tblCellSpacing w:w="0" w:type="dxa"/>
                    </w:trPr>
                    <w:tc>
                      <w:tcPr>
                        <w:tcW w:w="2700" w:type="dxa"/>
                        <w:vMerge/>
                        <w:tcBorders>
                          <w:top w:val="nil"/>
                          <w:left w:val="nil"/>
                          <w:bottom w:val="single" w:sz="2" w:space="0" w:color="FFFFFF"/>
                          <w:right w:val="nil"/>
                        </w:tcBorders>
                        <w:vAlign w:val="center"/>
                      </w:tcPr>
                      <w:p w14:paraId="5E58C7DA" w14:textId="77777777" w:rsidR="000C478E" w:rsidRDefault="000C478E">
                        <w:pPr>
                          <w:jc w:val="center"/>
                          <w:rPr>
                            <w:rFonts w:eastAsia="Times New Roman"/>
                            <w:noProof/>
                          </w:rPr>
                        </w:pPr>
                      </w:p>
                    </w:tc>
                  </w:tr>
                  <w:tr w:rsidR="000C478E" w14:paraId="58081AA8" w14:textId="77777777">
                    <w:trPr>
                      <w:tblCellSpacing w:w="0" w:type="dxa"/>
                    </w:trPr>
                    <w:tc>
                      <w:tcPr>
                        <w:tcW w:w="0" w:type="auto"/>
                        <w:vMerge/>
                        <w:tcBorders>
                          <w:top w:val="nil"/>
                          <w:left w:val="nil"/>
                          <w:bottom w:val="single" w:sz="2" w:space="0" w:color="FFFFFF"/>
                          <w:right w:val="nil"/>
                        </w:tcBorders>
                        <w:vAlign w:val="center"/>
                        <w:hideMark/>
                      </w:tcPr>
                      <w:p w14:paraId="22FDC457" w14:textId="77777777" w:rsidR="000C478E" w:rsidRDefault="000C478E">
                        <w:pPr>
                          <w:rPr>
                            <w:rFonts w:eastAsia="Times New Roman"/>
                          </w:rPr>
                        </w:pPr>
                      </w:p>
                    </w:tc>
                    <w:tc>
                      <w:tcPr>
                        <w:tcW w:w="3450" w:type="dxa"/>
                        <w:tcBorders>
                          <w:top w:val="nil"/>
                          <w:left w:val="nil"/>
                          <w:bottom w:val="nil"/>
                          <w:right w:val="nil"/>
                        </w:tcBorders>
                        <w:vAlign w:val="center"/>
                        <w:hideMark/>
                      </w:tcPr>
                      <w:p w14:paraId="7C620934" w14:textId="77777777" w:rsidR="000C478E" w:rsidRDefault="000C478E">
                        <w:pPr>
                          <w:pStyle w:val="Heading1"/>
                          <w:rPr>
                            <w:rFonts w:eastAsia="Times New Roman"/>
                          </w:rPr>
                        </w:pPr>
                        <w:r>
                          <w:rPr>
                            <w:rFonts w:eastAsia="Times New Roman"/>
                          </w:rPr>
                          <w:t>Daily Update </w:t>
                        </w:r>
                      </w:p>
                    </w:tc>
                  </w:tr>
                  <w:tr w:rsidR="000C478E" w14:paraId="0FB878AA" w14:textId="77777777">
                    <w:trPr>
                      <w:tblCellSpacing w:w="0" w:type="dxa"/>
                    </w:trPr>
                    <w:tc>
                      <w:tcPr>
                        <w:tcW w:w="0" w:type="auto"/>
                        <w:vMerge/>
                        <w:tcBorders>
                          <w:top w:val="nil"/>
                          <w:left w:val="nil"/>
                          <w:bottom w:val="single" w:sz="2" w:space="0" w:color="FFFFFF"/>
                          <w:right w:val="nil"/>
                        </w:tcBorders>
                        <w:vAlign w:val="center"/>
                        <w:hideMark/>
                      </w:tcPr>
                      <w:p w14:paraId="49F38828" w14:textId="77777777" w:rsidR="000C478E" w:rsidRDefault="000C478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EBB3A4E" w14:textId="77777777" w:rsidR="000C478E" w:rsidRDefault="000C478E">
                        <w:pPr>
                          <w:pStyle w:val="Heading2"/>
                          <w:rPr>
                            <w:rFonts w:eastAsia="Times New Roman"/>
                            <w:color w:val="93378A"/>
                          </w:rPr>
                        </w:pPr>
                        <w:r>
                          <w:rPr>
                            <w:rFonts w:eastAsia="Times New Roman"/>
                            <w:color w:val="93378A"/>
                          </w:rPr>
                          <w:t>Wednesday 7th July 2021</w:t>
                        </w:r>
                      </w:p>
                    </w:tc>
                  </w:tr>
                </w:tbl>
                <w:p w14:paraId="32F9B952" w14:textId="77777777" w:rsidR="000C478E" w:rsidRDefault="000C478E">
                  <w:pPr>
                    <w:rPr>
                      <w:rFonts w:ascii="Times New Roman" w:eastAsia="Times New Roman" w:hAnsi="Times New Roman" w:cs="Times New Roman"/>
                      <w:sz w:val="20"/>
                      <w:szCs w:val="20"/>
                    </w:rPr>
                  </w:pPr>
                </w:p>
              </w:tc>
            </w:tr>
            <w:tr w:rsidR="000C478E" w14:paraId="4B332588" w14:textId="77777777">
              <w:tblPrEx>
                <w:shd w:val="clear" w:color="auto" w:fill="auto"/>
              </w:tblPrEx>
              <w:trPr>
                <w:tblCellSpacing w:w="0" w:type="dxa"/>
                <w:jc w:val="center"/>
              </w:trPr>
              <w:tc>
                <w:tcPr>
                  <w:tcW w:w="9000" w:type="dxa"/>
                  <w:hideMark/>
                </w:tcPr>
                <w:p w14:paraId="1895F05F" w14:textId="65A01240" w:rsidR="000C478E" w:rsidRDefault="000C478E">
                  <w:pPr>
                    <w:rPr>
                      <w:rFonts w:eastAsia="Times New Roman"/>
                    </w:rPr>
                  </w:pPr>
                  <w:r>
                    <w:rPr>
                      <w:rFonts w:eastAsia="Times New Roman"/>
                      <w:noProof/>
                    </w:rPr>
                    <w:drawing>
                      <wp:inline distT="0" distB="0" distL="0" distR="0" wp14:anchorId="3DC60472" wp14:editId="3D1B914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C478E" w14:paraId="2FDFC25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0C478E" w14:paraId="378E788E" w14:textId="77777777">
                    <w:trPr>
                      <w:trHeight w:val="150"/>
                      <w:tblCellSpacing w:w="15" w:type="dxa"/>
                      <w:jc w:val="center"/>
                    </w:trPr>
                    <w:tc>
                      <w:tcPr>
                        <w:tcW w:w="150" w:type="dxa"/>
                        <w:vAlign w:val="center"/>
                        <w:hideMark/>
                      </w:tcPr>
                      <w:p w14:paraId="0433B504" w14:textId="77777777" w:rsidR="000C478E" w:rsidRDefault="000C478E">
                        <w:pPr>
                          <w:rPr>
                            <w:rFonts w:eastAsia="Times New Roman"/>
                          </w:rPr>
                        </w:pPr>
                      </w:p>
                    </w:tc>
                    <w:tc>
                      <w:tcPr>
                        <w:tcW w:w="8700" w:type="dxa"/>
                        <w:vAlign w:val="center"/>
                        <w:hideMark/>
                      </w:tcPr>
                      <w:p w14:paraId="4EB40F6D" w14:textId="77777777" w:rsidR="000C478E" w:rsidRDefault="000C478E">
                        <w:pPr>
                          <w:rPr>
                            <w:rFonts w:ascii="Times New Roman" w:eastAsia="Times New Roman" w:hAnsi="Times New Roman" w:cs="Times New Roman"/>
                            <w:sz w:val="20"/>
                            <w:szCs w:val="20"/>
                          </w:rPr>
                        </w:pPr>
                      </w:p>
                    </w:tc>
                    <w:tc>
                      <w:tcPr>
                        <w:tcW w:w="150" w:type="dxa"/>
                        <w:vAlign w:val="center"/>
                        <w:hideMark/>
                      </w:tcPr>
                      <w:p w14:paraId="6CC0B28B" w14:textId="77777777" w:rsidR="000C478E" w:rsidRDefault="000C478E">
                        <w:pPr>
                          <w:rPr>
                            <w:rFonts w:ascii="Times New Roman" w:eastAsia="Times New Roman" w:hAnsi="Times New Roman" w:cs="Times New Roman"/>
                            <w:sz w:val="20"/>
                            <w:szCs w:val="20"/>
                          </w:rPr>
                        </w:pPr>
                      </w:p>
                    </w:tc>
                  </w:tr>
                  <w:tr w:rsidR="000C478E" w14:paraId="43112B41" w14:textId="77777777">
                    <w:trPr>
                      <w:tblCellSpacing w:w="15" w:type="dxa"/>
                      <w:jc w:val="center"/>
                    </w:trPr>
                    <w:tc>
                      <w:tcPr>
                        <w:tcW w:w="150" w:type="dxa"/>
                        <w:vAlign w:val="center"/>
                        <w:hideMark/>
                      </w:tcPr>
                      <w:p w14:paraId="6FB3B560" w14:textId="77777777" w:rsidR="000C478E" w:rsidRDefault="000C478E">
                        <w:pPr>
                          <w:rPr>
                            <w:rFonts w:ascii="Times New Roman" w:eastAsia="Times New Roman" w:hAnsi="Times New Roman" w:cs="Times New Roman"/>
                            <w:sz w:val="20"/>
                            <w:szCs w:val="20"/>
                          </w:rPr>
                        </w:pPr>
                      </w:p>
                    </w:tc>
                    <w:tc>
                      <w:tcPr>
                        <w:tcW w:w="8700" w:type="dxa"/>
                        <w:vAlign w:val="center"/>
                        <w:hideMark/>
                      </w:tcPr>
                      <w:p w14:paraId="5C422340" w14:textId="77777777" w:rsidR="000C478E" w:rsidRDefault="000C478E">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704F465C" w14:textId="77777777" w:rsidR="000C478E" w:rsidRDefault="000C478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0A56BF1">
                            <v:rect id="_x0000_i1032" style="width:468pt;height:1.5pt" o:hralign="center" o:hrstd="t" o:hr="t" fillcolor="#a0a0a0" stroked="f"/>
                          </w:pict>
                        </w:r>
                      </w:p>
                      <w:p w14:paraId="2C4B17C8" w14:textId="77777777" w:rsidR="000C478E" w:rsidRDefault="000C478E">
                        <w:pPr>
                          <w:pStyle w:val="Heading2"/>
                          <w:rPr>
                            <w:rFonts w:eastAsia="Times New Roman"/>
                          </w:rPr>
                        </w:pPr>
                        <w:r>
                          <w:rPr>
                            <w:rFonts w:eastAsia="Times New Roman"/>
                          </w:rPr>
                          <w:t>In today's update: </w:t>
                        </w:r>
                        <w:r>
                          <w:rPr>
                            <w:rStyle w:val="Strong"/>
                            <w:rFonts w:eastAsia="Times New Roman"/>
                            <w:b/>
                            <w:bCs/>
                          </w:rPr>
                          <w:t>C-19 Costs Claims virtual workshops</w:t>
                        </w:r>
                        <w:r>
                          <w:rPr>
                            <w:rFonts w:eastAsia="Times New Roman"/>
                          </w:rPr>
                          <w:t>; public holiday guide for pharmacies; PSNC CEO blog.</w:t>
                        </w:r>
                      </w:p>
                      <w:p w14:paraId="57DC1DE9" w14:textId="77777777" w:rsidR="000C478E" w:rsidRDefault="000C478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52AF749">
                            <v:rect id="_x0000_i1033" style="width:468pt;height:1.5pt" o:hralign="center" o:hrstd="t" o:hr="t" fillcolor="#a0a0a0" stroked="f"/>
                          </w:pict>
                        </w:r>
                      </w:p>
                      <w:p w14:paraId="32744DB6" w14:textId="77777777" w:rsidR="000C478E" w:rsidRDefault="000C478E">
                        <w:pPr>
                          <w:pStyle w:val="Heading3"/>
                          <w:rPr>
                            <w:rFonts w:eastAsia="Times New Roman"/>
                          </w:rPr>
                        </w:pPr>
                        <w:r>
                          <w:rPr>
                            <w:rFonts w:eastAsia="Times New Roman"/>
                          </w:rPr>
                          <w:t xml:space="preserve">COVID-19 Costs Claims online contractor </w:t>
                        </w:r>
                        <w:proofErr w:type="gramStart"/>
                        <w:r>
                          <w:rPr>
                            <w:rFonts w:eastAsia="Times New Roman"/>
                          </w:rPr>
                          <w:t>workshops</w:t>
                        </w:r>
                        <w:proofErr w:type="gramEnd"/>
                      </w:p>
                      <w:p w14:paraId="32D5FF55" w14:textId="0DD8CB9B" w:rsidR="000C478E" w:rsidRDefault="000C478E" w:rsidP="000C478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will be holding two COVID-19 Cost Claim Workshops for community pharmacy contractors, on </w:t>
                        </w:r>
                        <w:r>
                          <w:rPr>
                            <w:rStyle w:val="Strong"/>
                            <w:rFonts w:ascii="Tahoma" w:eastAsia="Times New Roman" w:hAnsi="Tahoma" w:cs="Tahoma"/>
                            <w:color w:val="303030"/>
                            <w:sz w:val="21"/>
                            <w:szCs w:val="21"/>
                          </w:rPr>
                          <w:t>Wednesday 14th July</w:t>
                        </w:r>
                        <w:r>
                          <w:rPr>
                            <w:rFonts w:ascii="Tahoma" w:eastAsia="Times New Roman" w:hAnsi="Tahoma" w:cs="Tahoma"/>
                            <w:color w:val="303030"/>
                            <w:sz w:val="21"/>
                            <w:szCs w:val="21"/>
                          </w:rPr>
                          <w:t xml:space="preserve"> and </w:t>
                        </w:r>
                        <w:r>
                          <w:rPr>
                            <w:rStyle w:val="Strong"/>
                            <w:rFonts w:ascii="Tahoma" w:eastAsia="Times New Roman" w:hAnsi="Tahoma" w:cs="Tahoma"/>
                            <w:color w:val="303030"/>
                            <w:sz w:val="21"/>
                            <w:szCs w:val="21"/>
                          </w:rPr>
                          <w:t>Monday 2nd August at 7.30pm</w:t>
                        </w:r>
                        <w:r>
                          <w:rPr>
                            <w:rFonts w:ascii="Tahoma" w:eastAsia="Times New Roman" w:hAnsi="Tahoma" w:cs="Tahoma"/>
                            <w:color w:val="303030"/>
                            <w:sz w:val="21"/>
                            <w:szCs w:val="21"/>
                          </w:rPr>
                          <w:t xml:space="preserve">. </w:t>
                        </w:r>
                      </w:p>
                      <w:p w14:paraId="56B12CE7" w14:textId="77777777" w:rsidR="000C478E" w:rsidRDefault="000C478E" w:rsidP="000C478E">
                        <w:pPr>
                          <w:pStyle w:val="NormalWeb"/>
                          <w:spacing w:line="264" w:lineRule="auto"/>
                          <w:rPr>
                            <w:rFonts w:ascii="Tahoma" w:hAnsi="Tahoma" w:cs="Tahoma"/>
                            <w:color w:val="303030"/>
                            <w:sz w:val="21"/>
                            <w:szCs w:val="21"/>
                          </w:rPr>
                        </w:pPr>
                        <w:r>
                          <w:rPr>
                            <w:rFonts w:ascii="Tahoma" w:hAnsi="Tahoma" w:cs="Tahoma"/>
                            <w:color w:val="303030"/>
                            <w:sz w:val="21"/>
                            <w:szCs w:val="21"/>
                          </w:rPr>
                          <w:t>These 60-minute online events aim to help contractors to claim for the extra costs they incurred due to the COVID-19 pandemic and are part of PSNC’s programme of support on COVID cost claims.</w:t>
                        </w:r>
                        <w:r>
                          <w:rPr>
                            <w:rFonts w:ascii="Tahoma" w:hAnsi="Tahoma" w:cs="Tahoma"/>
                            <w:color w:val="303030"/>
                            <w:sz w:val="21"/>
                            <w:szCs w:val="21"/>
                          </w:rPr>
                          <w:br/>
                        </w:r>
                        <w:r>
                          <w:rPr>
                            <w:rFonts w:ascii="Tahoma" w:hAnsi="Tahoma" w:cs="Tahoma"/>
                            <w:color w:val="303030"/>
                            <w:sz w:val="21"/>
                            <w:szCs w:val="21"/>
                          </w:rPr>
                          <w:br/>
                          <w:t>Contractors have until 15th August 2021 to claim for their pandemic-related costs using an agreed claim form provided by the NHS Business Services Authority (NHSBSA). PSNC is working to get as much information about the claims process out to as many contractors as possible. The upcoming workshops will enable us to share information in a more accessible format as well as provide contractors with the opportunity to have their questions answered live by the PSNC team.</w:t>
                        </w:r>
                      </w:p>
                      <w:p w14:paraId="66148FA1" w14:textId="77777777" w:rsidR="000C478E" w:rsidRDefault="000C478E" w:rsidP="000C478E">
                        <w:pPr>
                          <w:pStyle w:val="NormalWeb"/>
                          <w:spacing w:line="264" w:lineRule="auto"/>
                          <w:rPr>
                            <w:rFonts w:ascii="Tahoma" w:hAnsi="Tahoma" w:cs="Tahoma"/>
                            <w:color w:val="303030"/>
                            <w:sz w:val="21"/>
                            <w:szCs w:val="21"/>
                          </w:rPr>
                        </w:pPr>
                        <w:r>
                          <w:rPr>
                            <w:rFonts w:ascii="Tahoma" w:hAnsi="Tahoma" w:cs="Tahoma"/>
                            <w:color w:val="303030"/>
                            <w:sz w:val="21"/>
                            <w:szCs w:val="21"/>
                          </w:rPr>
                          <w:t>During the workshops PSNC’s CEO and Director of Pharmacy Funding will explain the deal reached with HM Government, describe the claims process, and work through some examples.</w:t>
                        </w:r>
                      </w:p>
                      <w:p w14:paraId="3DD6FB0A" w14:textId="77777777" w:rsidR="000C478E" w:rsidRDefault="000C478E">
                        <w:pPr>
                          <w:pStyle w:val="NormalWeb"/>
                          <w:spacing w:line="264" w:lineRule="auto"/>
                          <w:jc w:val="both"/>
                          <w:rPr>
                            <w:rFonts w:ascii="Tahoma" w:hAnsi="Tahoma" w:cs="Tahoma"/>
                            <w:color w:val="303030"/>
                            <w:sz w:val="21"/>
                            <w:szCs w:val="21"/>
                          </w:rPr>
                        </w:pPr>
                        <w:hyperlink r:id="rId8" w:tgtFrame="_blank" w:history="1">
                          <w:r>
                            <w:rPr>
                              <w:rStyle w:val="Hyperlink"/>
                              <w:rFonts w:ascii="Tahoma" w:hAnsi="Tahoma" w:cs="Tahoma"/>
                              <w:b/>
                              <w:bCs/>
                              <w:color w:val="4E3487"/>
                              <w:sz w:val="21"/>
                              <w:szCs w:val="21"/>
                            </w:rPr>
                            <w:t>Register for one of these workshops</w:t>
                          </w:r>
                        </w:hyperlink>
                      </w:p>
                      <w:p w14:paraId="7B698984" w14:textId="77777777" w:rsidR="000C478E" w:rsidRDefault="000C478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C5D7361">
                            <v:rect id="_x0000_i1034" style="width:468pt;height:1.5pt" o:hralign="center" o:hrstd="t" o:hr="t" fillcolor="#a0a0a0" stroked="f"/>
                          </w:pict>
                        </w:r>
                      </w:p>
                      <w:p w14:paraId="1ACD99D2" w14:textId="77777777" w:rsidR="000C478E" w:rsidRDefault="000C478E" w:rsidP="000C478E">
                        <w:pPr>
                          <w:pStyle w:val="Heading3"/>
                          <w:spacing w:before="100" w:beforeAutospacing="1"/>
                          <w:rPr>
                            <w:rFonts w:eastAsia="Times New Roman"/>
                          </w:rPr>
                        </w:pPr>
                        <w:r>
                          <w:rPr>
                            <w:rFonts w:eastAsia="Times New Roman"/>
                          </w:rPr>
                          <w:t>Chief Executive's blog</w:t>
                        </w:r>
                      </w:p>
                      <w:p w14:paraId="5C92D358" w14:textId="5107BD1E" w:rsidR="000C478E" w:rsidRDefault="000C478E" w:rsidP="000C478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his most recent blog, PSNC CEO Simon Dukes reflects on the detail of the COVID-19 costs agreement that PSNC has successfully negotiated with HM Government, and on how this deal represents a significant improvement on the proposal that the Committee rejected last summer.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the latest PSNC CEO blog</w:t>
                          </w:r>
                        </w:hyperlink>
                        <w:r>
                          <w:rPr>
                            <w:rFonts w:ascii="Tahoma" w:eastAsia="Times New Roman" w:hAnsi="Tahoma" w:cs="Tahoma"/>
                            <w:color w:val="303030"/>
                            <w:sz w:val="21"/>
                            <w:szCs w:val="21"/>
                          </w:rPr>
                          <w:t xml:space="preserve"> </w:t>
                        </w:r>
                      </w:p>
                      <w:p w14:paraId="07C2D0CE" w14:textId="77777777" w:rsidR="000C478E" w:rsidRDefault="000C478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8200B22">
                            <v:rect id="_x0000_i1035" style="width:468pt;height:1.5pt" o:hralign="center" o:hrstd="t" o:hr="t" fillcolor="#a0a0a0" stroked="f"/>
                          </w:pict>
                        </w:r>
                      </w:p>
                      <w:p w14:paraId="57D12FA6" w14:textId="77777777" w:rsidR="000C478E" w:rsidRDefault="000C478E">
                        <w:pPr>
                          <w:pStyle w:val="Heading3"/>
                          <w:rPr>
                            <w:rFonts w:eastAsia="Times New Roman"/>
                          </w:rPr>
                        </w:pPr>
                        <w:r>
                          <w:rPr>
                            <w:rFonts w:eastAsia="Times New Roman"/>
                          </w:rPr>
                          <w:lastRenderedPageBreak/>
                          <w:t>Public holiday guide for pharmacies</w:t>
                        </w:r>
                      </w:p>
                      <w:p w14:paraId="0F1DD1B8" w14:textId="0BD858F6" w:rsidR="000C478E" w:rsidRDefault="000C478E" w:rsidP="000C478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produced a quick reference guide for the remaining 2021 and all 2022 bank/public holidays. The guide aims to address some of the common questions asked by contractors about the pharmacy terms of service opening hours requirements.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Find out more about pharmacy opening hour requirements</w:t>
                          </w:r>
                        </w:hyperlink>
                      </w:p>
                    </w:tc>
                    <w:tc>
                      <w:tcPr>
                        <w:tcW w:w="150" w:type="dxa"/>
                        <w:vAlign w:val="center"/>
                        <w:hideMark/>
                      </w:tcPr>
                      <w:p w14:paraId="06032E3A" w14:textId="77777777" w:rsidR="000C478E" w:rsidRDefault="000C478E">
                        <w:pPr>
                          <w:rPr>
                            <w:rFonts w:ascii="Tahoma" w:eastAsia="Times New Roman" w:hAnsi="Tahoma" w:cs="Tahoma"/>
                            <w:color w:val="303030"/>
                            <w:sz w:val="21"/>
                            <w:szCs w:val="21"/>
                          </w:rPr>
                        </w:pPr>
                      </w:p>
                    </w:tc>
                  </w:tr>
                  <w:tr w:rsidR="000C478E" w14:paraId="4094EA48" w14:textId="77777777">
                    <w:trPr>
                      <w:trHeight w:val="150"/>
                      <w:tblCellSpacing w:w="15" w:type="dxa"/>
                      <w:jc w:val="center"/>
                    </w:trPr>
                    <w:tc>
                      <w:tcPr>
                        <w:tcW w:w="150" w:type="dxa"/>
                        <w:vAlign w:val="center"/>
                        <w:hideMark/>
                      </w:tcPr>
                      <w:p w14:paraId="04B541B2" w14:textId="77777777" w:rsidR="000C478E" w:rsidRDefault="000C478E">
                        <w:pPr>
                          <w:rPr>
                            <w:rFonts w:ascii="Times New Roman" w:eastAsia="Times New Roman" w:hAnsi="Times New Roman" w:cs="Times New Roman"/>
                            <w:sz w:val="20"/>
                            <w:szCs w:val="20"/>
                          </w:rPr>
                        </w:pPr>
                      </w:p>
                    </w:tc>
                    <w:tc>
                      <w:tcPr>
                        <w:tcW w:w="8700" w:type="dxa"/>
                        <w:vAlign w:val="center"/>
                        <w:hideMark/>
                      </w:tcPr>
                      <w:p w14:paraId="38A5FE6A" w14:textId="77777777" w:rsidR="000C478E" w:rsidRDefault="000C478E">
                        <w:pPr>
                          <w:rPr>
                            <w:rFonts w:ascii="Times New Roman" w:eastAsia="Times New Roman" w:hAnsi="Times New Roman" w:cs="Times New Roman"/>
                            <w:sz w:val="20"/>
                            <w:szCs w:val="20"/>
                          </w:rPr>
                        </w:pPr>
                      </w:p>
                    </w:tc>
                    <w:tc>
                      <w:tcPr>
                        <w:tcW w:w="150" w:type="dxa"/>
                        <w:vAlign w:val="center"/>
                        <w:hideMark/>
                      </w:tcPr>
                      <w:p w14:paraId="531DFD8D" w14:textId="77777777" w:rsidR="000C478E" w:rsidRDefault="000C478E">
                        <w:pPr>
                          <w:rPr>
                            <w:rFonts w:ascii="Times New Roman" w:eastAsia="Times New Roman" w:hAnsi="Times New Roman" w:cs="Times New Roman"/>
                            <w:sz w:val="20"/>
                            <w:szCs w:val="20"/>
                          </w:rPr>
                        </w:pPr>
                      </w:p>
                    </w:tc>
                  </w:tr>
                </w:tbl>
                <w:p w14:paraId="2BECA0C0" w14:textId="77777777" w:rsidR="000C478E" w:rsidRDefault="000C478E">
                  <w:pPr>
                    <w:jc w:val="center"/>
                    <w:rPr>
                      <w:rFonts w:ascii="Times New Roman" w:eastAsia="Times New Roman" w:hAnsi="Times New Roman" w:cs="Times New Roman"/>
                      <w:sz w:val="20"/>
                      <w:szCs w:val="20"/>
                    </w:rPr>
                  </w:pPr>
                </w:p>
              </w:tc>
            </w:tr>
          </w:tbl>
          <w:p w14:paraId="363030BE" w14:textId="77777777" w:rsidR="000C478E" w:rsidRDefault="000C478E">
            <w:pPr>
              <w:jc w:val="center"/>
              <w:rPr>
                <w:rFonts w:ascii="Times New Roman" w:eastAsia="Times New Roman" w:hAnsi="Times New Roman" w:cs="Times New Roman"/>
                <w:sz w:val="20"/>
                <w:szCs w:val="20"/>
              </w:rPr>
            </w:pPr>
          </w:p>
        </w:tc>
      </w:tr>
      <w:tr w:rsidR="000C478E" w14:paraId="58C43331" w14:textId="77777777" w:rsidTr="000C478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C478E" w14:paraId="3A6DD22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C478E" w14:paraId="3A109D99" w14:textId="77777777">
                    <w:trPr>
                      <w:tblCellSpacing w:w="0" w:type="dxa"/>
                      <w:jc w:val="center"/>
                    </w:trPr>
                    <w:tc>
                      <w:tcPr>
                        <w:tcW w:w="3000" w:type="dxa"/>
                        <w:tcMar>
                          <w:top w:w="30" w:type="dxa"/>
                          <w:left w:w="75" w:type="dxa"/>
                          <w:bottom w:w="30" w:type="dxa"/>
                          <w:right w:w="75" w:type="dxa"/>
                        </w:tcMar>
                        <w:hideMark/>
                      </w:tcPr>
                      <w:p w14:paraId="0AB6890E" w14:textId="77777777" w:rsidR="000C478E" w:rsidRDefault="000C478E">
                        <w:pPr>
                          <w:pStyle w:val="Heading4"/>
                          <w:jc w:val="center"/>
                          <w:rPr>
                            <w:rFonts w:eastAsia="Times New Roman"/>
                          </w:rPr>
                        </w:pPr>
                        <w:r>
                          <w:rPr>
                            <w:rFonts w:eastAsia="Times New Roman"/>
                          </w:rPr>
                          <w:lastRenderedPageBreak/>
                          <w:t>Pharmaceutical Services Negotiating Committee</w:t>
                        </w:r>
                      </w:p>
                      <w:p w14:paraId="17B49AB5" w14:textId="3C03794F" w:rsidR="000C478E" w:rsidRDefault="000C478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057E85A" wp14:editId="4D61CD08">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77985BB" wp14:editId="0F3A13CF">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C0C4A40" wp14:editId="48A74829">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E8941A2" wp14:editId="3BCC836F">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69FC336" w14:textId="77777777" w:rsidR="000C478E" w:rsidRDefault="000C478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C478E" w14:paraId="43F6B847" w14:textId="77777777">
                    <w:trPr>
                      <w:trHeight w:val="450"/>
                      <w:tblCellSpacing w:w="0" w:type="dxa"/>
                      <w:jc w:val="center"/>
                    </w:trPr>
                    <w:tc>
                      <w:tcPr>
                        <w:tcW w:w="9000" w:type="dxa"/>
                        <w:tcMar>
                          <w:top w:w="150" w:type="dxa"/>
                          <w:left w:w="0" w:type="dxa"/>
                          <w:bottom w:w="0" w:type="dxa"/>
                          <w:right w:w="0" w:type="dxa"/>
                        </w:tcMar>
                        <w:vAlign w:val="center"/>
                        <w:hideMark/>
                      </w:tcPr>
                      <w:p w14:paraId="2A7ACC27" w14:textId="7671F16F" w:rsidR="000C478E" w:rsidRDefault="000C478E" w:rsidP="000C478E">
                        <w:pPr>
                          <w:rPr>
                            <w:rFonts w:ascii="Arial" w:eastAsia="Times New Roman" w:hAnsi="Arial" w:cs="Arial"/>
                            <w:color w:val="FFFFFF"/>
                            <w:sz w:val="17"/>
                            <w:szCs w:val="17"/>
                          </w:rPr>
                        </w:pPr>
                      </w:p>
                    </w:tc>
                  </w:tr>
                </w:tbl>
                <w:p w14:paraId="6B0859E7" w14:textId="77777777" w:rsidR="000C478E" w:rsidRDefault="000C478E">
                  <w:pPr>
                    <w:jc w:val="center"/>
                    <w:rPr>
                      <w:rFonts w:ascii="Times New Roman" w:eastAsia="Times New Roman" w:hAnsi="Times New Roman" w:cs="Times New Roman"/>
                      <w:sz w:val="20"/>
                      <w:szCs w:val="20"/>
                    </w:rPr>
                  </w:pPr>
                </w:p>
              </w:tc>
            </w:tr>
          </w:tbl>
          <w:p w14:paraId="2223F6EA" w14:textId="77777777" w:rsidR="000C478E" w:rsidRDefault="000C478E">
            <w:pPr>
              <w:jc w:val="center"/>
              <w:rPr>
                <w:rFonts w:ascii="Times New Roman" w:eastAsia="Times New Roman" w:hAnsi="Times New Roman" w:cs="Times New Roman"/>
                <w:sz w:val="20"/>
                <w:szCs w:val="20"/>
              </w:rPr>
            </w:pPr>
          </w:p>
        </w:tc>
      </w:tr>
    </w:tbl>
    <w:p w14:paraId="79ECC3E0" w14:textId="247E88E0" w:rsidR="000C478E" w:rsidRDefault="000C478E" w:rsidP="000C478E">
      <w:pPr>
        <w:rPr>
          <w:rFonts w:eastAsia="Times New Roman"/>
        </w:rPr>
      </w:pPr>
      <w:r>
        <w:rPr>
          <w:rFonts w:eastAsia="Times New Roman"/>
          <w:noProof/>
        </w:rPr>
        <w:drawing>
          <wp:inline distT="0" distB="0" distL="0" distR="0" wp14:anchorId="32A7A929" wp14:editId="119F39F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2BAE35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8E"/>
    <w:rsid w:val="000C478E"/>
    <w:rsid w:val="0018689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5494"/>
  <w15:chartTrackingRefBased/>
  <w15:docId w15:val="{FD1A88A8-454F-4BC8-AD79-A97A2BBD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78E"/>
    <w:rPr>
      <w:rFonts w:ascii="Calibri" w:hAnsi="Calibri" w:cs="Calibri"/>
      <w:lang w:eastAsia="en-GB"/>
    </w:rPr>
  </w:style>
  <w:style w:type="paragraph" w:styleId="Heading1">
    <w:name w:val="heading 1"/>
    <w:basedOn w:val="Normal"/>
    <w:link w:val="Heading1Char"/>
    <w:uiPriority w:val="9"/>
    <w:qFormat/>
    <w:rsid w:val="000C478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C478E"/>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C478E"/>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C478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78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C478E"/>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C478E"/>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C478E"/>
    <w:rPr>
      <w:rFonts w:ascii="Tahoma" w:hAnsi="Tahoma" w:cs="Tahoma"/>
      <w:b/>
      <w:bCs/>
      <w:color w:val="FFFFFF"/>
      <w:sz w:val="18"/>
      <w:szCs w:val="18"/>
      <w:lang w:eastAsia="en-GB"/>
    </w:rPr>
  </w:style>
  <w:style w:type="paragraph" w:styleId="NormalWeb">
    <w:name w:val="Normal (Web)"/>
    <w:basedOn w:val="Normal"/>
    <w:uiPriority w:val="99"/>
    <w:semiHidden/>
    <w:unhideWhenUsed/>
    <w:rsid w:val="000C478E"/>
    <w:pPr>
      <w:spacing w:before="100" w:beforeAutospacing="1" w:after="100" w:afterAutospacing="1"/>
    </w:pPr>
  </w:style>
  <w:style w:type="character" w:styleId="Strong">
    <w:name w:val="Strong"/>
    <w:basedOn w:val="DefaultParagraphFont"/>
    <w:uiPriority w:val="22"/>
    <w:qFormat/>
    <w:rsid w:val="000C478E"/>
    <w:rPr>
      <w:b/>
      <w:bCs/>
    </w:rPr>
  </w:style>
  <w:style w:type="character" w:styleId="Hyperlink">
    <w:name w:val="Hyperlink"/>
    <w:basedOn w:val="DefaultParagraphFont"/>
    <w:uiPriority w:val="99"/>
    <w:semiHidden/>
    <w:unhideWhenUsed/>
    <w:rsid w:val="000C4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2800a6185&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7812e7dd3b&amp;e=d19e9fd41c" TargetMode="External"/><Relationship Id="rId25" Type="http://schemas.openxmlformats.org/officeDocument/2006/relationships/image" Target="https://psnc.us7.list-manage.com/track/open.php?u=86d41ab7fa4c7c2c5d7210782&amp;id=b279f0b10a&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0c2514dbf4&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b64a99ba7&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b4cff37d32&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9956c9d07&amp;e=d19e9fd41c" TargetMode="External"/><Relationship Id="rId14" Type="http://schemas.openxmlformats.org/officeDocument/2006/relationships/hyperlink" Target="https://psnc.us7.list-manage.com/track/click?u=86d41ab7fa4c7c2c5d7210782&amp;id=370c19946f&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2021-07-08T07:09:00Z</dcterms:created>
  <dcterms:modified xsi:type="dcterms:W3CDTF">2021-07-08T07:20:00Z</dcterms:modified>
</cp:coreProperties>
</file>