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6D323D">
                          <w:rPr>
                            <w:noProof/>
                          </w:rPr>
                          <w:fldChar w:fldCharType="begin"/>
                        </w:r>
                        <w:r w:rsidR="006D323D">
                          <w:rPr>
                            <w:noProof/>
                          </w:rPr>
                          <w:instrText xml:space="preserve"> INCLUDEPICTURE  "/var/folders/zq/_hgbfm5j5m929nsq7yq0snt00000gn/T/com.microsoft.Word/WebArchiveCopyPasteTempFiles/001d399a-96a4-4e1f-b905-a21d530b5d29.jpg" \* MERGEFORMATINET </w:instrText>
                        </w:r>
                        <w:r w:rsidR="006D323D">
                          <w:rPr>
                            <w:noProof/>
                          </w:rPr>
                          <w:fldChar w:fldCharType="separate"/>
                        </w:r>
                        <w:r w:rsidR="006F3677">
                          <w:rPr>
                            <w:noProof/>
                          </w:rPr>
                          <w:fldChar w:fldCharType="begin"/>
                        </w:r>
                        <w:r w:rsidR="006F3677">
                          <w:rPr>
                            <w:noProof/>
                          </w:rPr>
                          <w:instrText xml:space="preserve"> </w:instrText>
                        </w:r>
                        <w:r w:rsidR="006F3677">
                          <w:rPr>
                            <w:noProof/>
                          </w:rPr>
                          <w:instrText>INCLUDEPICTURE  "/var/folders/zq/_hgbfm5j5m929nsq7yq0snt00000gn/T/com.microsoft.Word/WebArchiveCopyPasteTempFiles/001d399a-96a4-4e1f-b905-a21d530b5d29.jpg" \* MERGEFORMATINET</w:instrText>
                        </w:r>
                        <w:r w:rsidR="006F3677">
                          <w:rPr>
                            <w:noProof/>
                          </w:rPr>
                          <w:instrText xml:space="preserve"> </w:instrText>
                        </w:r>
                        <w:r w:rsidR="006F3677">
                          <w:rPr>
                            <w:noProof/>
                          </w:rPr>
                          <w:fldChar w:fldCharType="separate"/>
                        </w:r>
                        <w:r w:rsidR="006F3677">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98pt;height:70pt;mso-width-percent:0;mso-height-percent:0;mso-width-percent:0;mso-height-percent:0">
                              <v:imagedata r:id="rId5" r:href="rId6"/>
                            </v:shape>
                          </w:pict>
                        </w:r>
                        <w:r w:rsidR="006F3677">
                          <w:rPr>
                            <w:noProof/>
                          </w:rPr>
                          <w:fldChar w:fldCharType="end"/>
                        </w:r>
                        <w:r w:rsidR="006D323D">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7D75A99A" w:rsidR="002F42A7" w:rsidRPr="00DE6A3B" w:rsidRDefault="00AC2DB8"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Thurs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8</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D22594">
                          <w:rPr>
                            <w:rFonts w:ascii="Tahoma" w:hAnsi="Tahoma" w:cs="Tahoma"/>
                            <w:color w:val="93378A"/>
                            <w:sz w:val="30"/>
                            <w:szCs w:val="30"/>
                          </w:rPr>
                          <w:t>Ju</w:t>
                        </w:r>
                        <w:r>
                          <w:rPr>
                            <w:rFonts w:ascii="Tahoma" w:hAnsi="Tahoma" w:cs="Tahoma"/>
                            <w:color w:val="93378A"/>
                            <w:sz w:val="30"/>
                            <w:szCs w:val="30"/>
                          </w:rPr>
                          <w:t>ly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6D323D">
                    <w:rPr>
                      <w:rFonts w:ascii="Helvetica" w:hAnsi="Helvetica"/>
                      <w:noProof/>
                      <w:color w:val="000000"/>
                      <w:sz w:val="18"/>
                      <w:szCs w:val="18"/>
                    </w:rPr>
                    <w:fldChar w:fldCharType="begin"/>
                  </w:r>
                  <w:r w:rsidR="006D32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323D">
                    <w:rPr>
                      <w:rFonts w:ascii="Helvetica" w:hAnsi="Helvetica"/>
                      <w:noProof/>
                      <w:color w:val="000000"/>
                      <w:sz w:val="18"/>
                      <w:szCs w:val="18"/>
                    </w:rPr>
                    <w:fldChar w:fldCharType="separate"/>
                  </w:r>
                  <w:r w:rsidR="006F3677">
                    <w:rPr>
                      <w:rFonts w:ascii="Helvetica" w:hAnsi="Helvetica"/>
                      <w:noProof/>
                      <w:color w:val="000000"/>
                      <w:sz w:val="18"/>
                      <w:szCs w:val="18"/>
                    </w:rPr>
                    <w:fldChar w:fldCharType="begin"/>
                  </w:r>
                  <w:r w:rsidR="006F3677">
                    <w:rPr>
                      <w:rFonts w:ascii="Helvetica" w:hAnsi="Helvetica"/>
                      <w:noProof/>
                      <w:color w:val="000000"/>
                      <w:sz w:val="18"/>
                      <w:szCs w:val="18"/>
                    </w:rPr>
                    <w:instrText xml:space="preserve"> </w:instrText>
                  </w:r>
                  <w:r w:rsidR="006F3677">
                    <w:rPr>
                      <w:rFonts w:ascii="Helvetica" w:hAnsi="Helvetica"/>
                      <w:noProof/>
                      <w:color w:val="000000"/>
                      <w:sz w:val="18"/>
                      <w:szCs w:val="18"/>
                    </w:rPr>
                    <w:instrText>INCLUDEPICTURE  "/var/folders/zq/_hgbfm5j5m929nsq7yq0snt00000gn/T/com.microsoft.Word/WebArchiveCopyPasteTempFiles/Newsletter-style-bar.png" \* MERGEFORMATINET</w:instrText>
                  </w:r>
                  <w:r w:rsidR="006F3677">
                    <w:rPr>
                      <w:rFonts w:ascii="Helvetica" w:hAnsi="Helvetica"/>
                      <w:noProof/>
                      <w:color w:val="000000"/>
                      <w:sz w:val="18"/>
                      <w:szCs w:val="18"/>
                    </w:rPr>
                    <w:instrText xml:space="preserve"> </w:instrText>
                  </w:r>
                  <w:r w:rsidR="006F3677">
                    <w:rPr>
                      <w:rFonts w:ascii="Helvetica" w:hAnsi="Helvetica"/>
                      <w:noProof/>
                      <w:color w:val="000000"/>
                      <w:sz w:val="18"/>
                      <w:szCs w:val="18"/>
                    </w:rPr>
                    <w:fldChar w:fldCharType="separate"/>
                  </w:r>
                  <w:r w:rsidR="006F3677">
                    <w:rPr>
                      <w:rFonts w:ascii="Helvetica" w:hAnsi="Helvetica"/>
                      <w:noProof/>
                      <w:color w:val="000000"/>
                      <w:sz w:val="18"/>
                      <w:szCs w:val="18"/>
                    </w:rPr>
                    <w:pict w14:anchorId="678A794D">
                      <v:shape id="_x0000_i1029" type="#_x0000_t75" alt="" style="width:600pt;height:22pt;mso-width-percent:0;mso-height-percent:0;mso-width-percent:0;mso-height-percent:0">
                        <v:imagedata r:id="rId7" r:href="rId8"/>
                      </v:shape>
                    </w:pict>
                  </w:r>
                  <w:r w:rsidR="006F3677">
                    <w:rPr>
                      <w:rFonts w:ascii="Helvetica" w:hAnsi="Helvetica"/>
                      <w:noProof/>
                      <w:color w:val="000000"/>
                      <w:sz w:val="18"/>
                      <w:szCs w:val="18"/>
                    </w:rPr>
                    <w:fldChar w:fldCharType="end"/>
                  </w:r>
                  <w:r w:rsidR="006D323D">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6F3677" w:rsidP="002907F7">
                        <w:pPr>
                          <w:rPr>
                            <w:rFonts w:ascii="Times New Roman" w:hAnsi="Times New Roman" w:cs="Times New Roman"/>
                          </w:rPr>
                        </w:pPr>
                        <w:r>
                          <w:rPr>
                            <w:noProof/>
                          </w:rPr>
                          <w:pict w14:anchorId="2BE0C096">
                            <v:rect id="_x0000_i1028" alt="" style="width:290.15pt;height:.05pt;mso-width-percent:0;mso-height-percent:0;mso-width-percent:0;mso-height-percent:0" o:hrpct="620"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7C1B8459" w14:textId="77777777" w:rsidR="00AC2DB8" w:rsidRDefault="00AC2DB8" w:rsidP="00AC2DB8">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DMS Declaration of Competence; ordering method for staff C-19 tests; PSNC updates payment tracker tool.</w:t>
                              </w:r>
                            </w:p>
                            <w:p w14:paraId="46B134CE" w14:textId="77777777" w:rsidR="00AC2DB8" w:rsidRDefault="006F3677" w:rsidP="00AC2DB8">
                              <w:pPr>
                                <w:jc w:val="both"/>
                                <w:rPr>
                                  <w:rFonts w:ascii="Tahoma" w:hAnsi="Tahoma" w:cs="Tahoma"/>
                                  <w:color w:val="303030"/>
                                  <w:sz w:val="21"/>
                                  <w:szCs w:val="21"/>
                                </w:rPr>
                              </w:pPr>
                              <w:r>
                                <w:rPr>
                                  <w:rFonts w:ascii="Tahoma" w:hAnsi="Tahoma" w:cs="Tahoma"/>
                                  <w:noProof/>
                                  <w:color w:val="303030"/>
                                  <w:sz w:val="21"/>
                                  <w:szCs w:val="21"/>
                                </w:rPr>
                                <w:pict w14:anchorId="7838369B">
                                  <v:rect id="_x0000_i1027" alt="" style="width:451.15pt;height:.05pt;mso-width-percent:0;mso-height-percent:0;mso-width-percent:0;mso-height-percent:0" o:hrpct="964" o:hralign="center" o:hrstd="t" o:hr="t" fillcolor="#a0a0a0" stroked="f"/>
                                </w:pict>
                              </w:r>
                            </w:p>
                            <w:p w14:paraId="1743A106" w14:textId="77777777" w:rsidR="00AC2DB8" w:rsidRPr="00AC2DB8" w:rsidRDefault="00AC2DB8" w:rsidP="00AC2DB8">
                              <w:pPr>
                                <w:pStyle w:val="Heading3"/>
                                <w:spacing w:before="0" w:after="75" w:line="297" w:lineRule="atLeast"/>
                                <w:rPr>
                                  <w:rFonts w:ascii="Tahoma" w:hAnsi="Tahoma" w:cs="Tahoma"/>
                                  <w:b/>
                                  <w:bCs/>
                                  <w:color w:val="4E3487"/>
                                  <w:sz w:val="28"/>
                                  <w:szCs w:val="28"/>
                                </w:rPr>
                              </w:pPr>
                              <w:r w:rsidRPr="00AC2DB8">
                                <w:rPr>
                                  <w:rFonts w:ascii="Tahoma" w:hAnsi="Tahoma" w:cs="Tahoma"/>
                                  <w:b/>
                                  <w:bCs/>
                                  <w:color w:val="4E3487"/>
                                  <w:sz w:val="28"/>
                                  <w:szCs w:val="28"/>
                                </w:rPr>
                                <w:t>Have you completed the DMS Declaration of Competence?</w:t>
                              </w:r>
                            </w:p>
                            <w:p w14:paraId="18852305" w14:textId="77777777" w:rsidR="00AC2DB8" w:rsidRDefault="00AC2DB8" w:rsidP="00AC2DB8">
                              <w:pPr>
                                <w:rPr>
                                  <w:rFonts w:ascii="Tahoma" w:hAnsi="Tahoma" w:cs="Tahoma"/>
                                  <w:color w:val="303030"/>
                                  <w:sz w:val="21"/>
                                  <w:szCs w:val="21"/>
                                </w:rPr>
                              </w:pPr>
                              <w:r>
                                <w:rPr>
                                  <w:rFonts w:ascii="Tahoma" w:hAnsi="Tahoma" w:cs="Tahoma"/>
                                  <w:color w:val="303030"/>
                                  <w:sz w:val="21"/>
                                  <w:szCs w:val="21"/>
                                </w:rPr>
                                <w:br/>
                                <w:t>Pharmacists and pharmacy technicians must complete the Discharge Medicines Service (DMS) Declaration of Competence (DoC) </w:t>
                              </w:r>
                              <w:r>
                                <w:rPr>
                                  <w:rStyle w:val="Strong"/>
                                  <w:rFonts w:ascii="Tahoma" w:hAnsi="Tahoma" w:cs="Tahoma"/>
                                  <w:color w:val="303030"/>
                                  <w:sz w:val="21"/>
                                  <w:szCs w:val="21"/>
                                </w:rPr>
                                <w:t>before </w:t>
                              </w:r>
                              <w:r>
                                <w:rPr>
                                  <w:rFonts w:ascii="Tahoma" w:hAnsi="Tahoma" w:cs="Tahoma"/>
                                  <w:color w:val="303030"/>
                                  <w:sz w:val="21"/>
                                  <w:szCs w:val="21"/>
                                </w:rPr>
                                <w:t>providing DMS, which became an Essential service earlier this year.</w:t>
                              </w:r>
                              <w:r>
                                <w:rPr>
                                  <w:rFonts w:ascii="Tahoma" w:hAnsi="Tahoma" w:cs="Tahoma"/>
                                  <w:color w:val="303030"/>
                                  <w:sz w:val="21"/>
                                  <w:szCs w:val="21"/>
                                </w:rPr>
                                <w:br/>
                              </w:r>
                              <w:r>
                                <w:rPr>
                                  <w:rFonts w:ascii="Tahoma" w:hAnsi="Tahoma" w:cs="Tahoma"/>
                                  <w:color w:val="303030"/>
                                  <w:sz w:val="21"/>
                                  <w:szCs w:val="21"/>
                                </w:rPr>
                                <w:br/>
                                <w:t>Even pharmacies not yet receiving referrals from hospitals should be ready to provide the service, which includes ensuring staff have completed the relevant training and are competent to offer the service.</w:t>
                              </w:r>
                              <w:r>
                                <w:rPr>
                                  <w:rFonts w:ascii="Tahoma" w:hAnsi="Tahoma" w:cs="Tahoma"/>
                                  <w:color w:val="303030"/>
                                  <w:sz w:val="21"/>
                                  <w:szCs w:val="21"/>
                                </w:rPr>
                                <w:br/>
                              </w:r>
                              <w:r>
                                <w:rPr>
                                  <w:rFonts w:ascii="Tahoma" w:hAnsi="Tahoma" w:cs="Tahoma"/>
                                  <w:color w:val="303030"/>
                                  <w:sz w:val="21"/>
                                  <w:szCs w:val="21"/>
                                </w:rPr>
                                <w:br/>
                                <w:t>As a minimum, pharmacists and pharmacy technicians should read the DMS section of the</w:t>
                              </w:r>
                              <w:hyperlink r:id="rId9" w:tgtFrame="_blank" w:history="1">
                                <w:r>
                                  <w:rPr>
                                    <w:rStyle w:val="Hyperlink"/>
                                    <w:rFonts w:ascii="Tahoma" w:hAnsi="Tahoma" w:cs="Tahoma"/>
                                    <w:b/>
                                    <w:bCs/>
                                    <w:color w:val="4E3487"/>
                                    <w:sz w:val="21"/>
                                    <w:szCs w:val="21"/>
                                  </w:rPr>
                                  <w:t> NHS England and NHS Improvement guidance on the regulations</w:t>
                                </w:r>
                              </w:hyperlink>
                              <w:r>
                                <w:rPr>
                                  <w:rFonts w:ascii="Tahoma" w:hAnsi="Tahoma" w:cs="Tahoma"/>
                                  <w:color w:val="303030"/>
                                  <w:sz w:val="21"/>
                                  <w:szCs w:val="21"/>
                                </w:rPr>
                                <w:t> and the </w:t>
                              </w:r>
                              <w:hyperlink r:id="rId10" w:tgtFrame="_blank" w:history="1">
                                <w:r>
                                  <w:rPr>
                                    <w:rStyle w:val="Hyperlink"/>
                                    <w:rFonts w:ascii="Tahoma" w:hAnsi="Tahoma" w:cs="Tahoma"/>
                                    <w:b/>
                                    <w:bCs/>
                                    <w:color w:val="4E3487"/>
                                    <w:sz w:val="21"/>
                                    <w:szCs w:val="21"/>
                                  </w:rPr>
                                  <w:t>DMS toolkit</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 about the DMS DoC</w:t>
                                </w:r>
                              </w:hyperlink>
                            </w:p>
                            <w:p w14:paraId="469D475D" w14:textId="77777777" w:rsidR="00AC2DB8" w:rsidRDefault="006F3677" w:rsidP="00AC2DB8">
                              <w:pPr>
                                <w:jc w:val="both"/>
                                <w:rPr>
                                  <w:rFonts w:ascii="Tahoma" w:hAnsi="Tahoma" w:cs="Tahoma"/>
                                  <w:color w:val="303030"/>
                                  <w:sz w:val="21"/>
                                  <w:szCs w:val="21"/>
                                </w:rPr>
                              </w:pPr>
                              <w:r>
                                <w:rPr>
                                  <w:rFonts w:ascii="Tahoma" w:hAnsi="Tahoma" w:cs="Tahoma"/>
                                  <w:noProof/>
                                  <w:color w:val="303030"/>
                                  <w:sz w:val="21"/>
                                  <w:szCs w:val="21"/>
                                </w:rPr>
                                <w:pict w14:anchorId="1F93D750">
                                  <v:rect id="_x0000_i1026" alt="" style="width:451.15pt;height:.05pt;mso-width-percent:0;mso-height-percent:0;mso-width-percent:0;mso-height-percent:0" o:hrpct="964" o:hralign="center" o:hrstd="t" o:hr="t" fillcolor="#a0a0a0" stroked="f"/>
                                </w:pict>
                              </w:r>
                            </w:p>
                            <w:p w14:paraId="1AC79EBE" w14:textId="77777777" w:rsidR="00AC2DB8" w:rsidRPr="00AC2DB8" w:rsidRDefault="00AC2DB8" w:rsidP="00AC2DB8">
                              <w:pPr>
                                <w:pStyle w:val="Heading3"/>
                                <w:spacing w:before="0" w:after="75" w:line="297" w:lineRule="atLeast"/>
                                <w:rPr>
                                  <w:rFonts w:ascii="Tahoma" w:hAnsi="Tahoma" w:cs="Tahoma"/>
                                  <w:b/>
                                  <w:bCs/>
                                  <w:color w:val="4E3487"/>
                                  <w:sz w:val="28"/>
                                  <w:szCs w:val="28"/>
                                </w:rPr>
                              </w:pPr>
                              <w:r w:rsidRPr="00AC2DB8">
                                <w:rPr>
                                  <w:rFonts w:ascii="Tahoma" w:hAnsi="Tahoma" w:cs="Tahoma"/>
                                  <w:b/>
                                  <w:bCs/>
                                  <w:color w:val="4E3487"/>
                                  <w:sz w:val="28"/>
                                  <w:szCs w:val="28"/>
                                </w:rPr>
                                <w:t>Distribution arrangements for staff COVID testing</w:t>
                              </w:r>
                            </w:p>
                            <w:p w14:paraId="77219E56" w14:textId="25F86226" w:rsidR="00AC2DB8" w:rsidRDefault="00AC2DB8" w:rsidP="00AC2DB8">
                              <w:pPr>
                                <w:rPr>
                                  <w:rFonts w:ascii="Tahoma" w:hAnsi="Tahoma" w:cs="Tahoma"/>
                                  <w:color w:val="303030"/>
                                  <w:sz w:val="21"/>
                                  <w:szCs w:val="21"/>
                                </w:rPr>
                              </w:pPr>
                              <w:r>
                                <w:rPr>
                                  <w:rFonts w:ascii="Tahoma" w:hAnsi="Tahoma" w:cs="Tahoma"/>
                                  <w:color w:val="303030"/>
                                  <w:sz w:val="21"/>
                                  <w:szCs w:val="21"/>
                                </w:rPr>
                                <w:br/>
                                <w:t>NHS England and NHS Improvement (NHSE&amp;I) recently</w:t>
                              </w:r>
                              <w:r>
                                <w:rPr>
                                  <w:rStyle w:val="apple-converted-space"/>
                                  <w:rFonts w:ascii="Tahoma" w:hAnsi="Tahoma" w:cs="Tahoma"/>
                                  <w:color w:val="303030"/>
                                  <w:sz w:val="21"/>
                                  <w:szCs w:val="21"/>
                                </w:rPr>
                                <w:t> </w:t>
                              </w:r>
                              <w:hyperlink r:id="rId12" w:tgtFrame="_blank" w:history="1">
                                <w:r>
                                  <w:rPr>
                                    <w:rStyle w:val="Hyperlink"/>
                                    <w:rFonts w:ascii="Tahoma" w:hAnsi="Tahoma" w:cs="Tahoma"/>
                                    <w:b/>
                                    <w:bCs/>
                                    <w:color w:val="4E3487"/>
                                    <w:sz w:val="21"/>
                                    <w:szCs w:val="21"/>
                                  </w:rPr>
                                  <w:t>announced new arrangements</w:t>
                                </w:r>
                              </w:hyperlink>
                              <w:r>
                                <w:rPr>
                                  <w:rFonts w:ascii="Tahoma" w:hAnsi="Tahoma" w:cs="Tahoma"/>
                                  <w:color w:val="303030"/>
                                  <w:sz w:val="21"/>
                                  <w:szCs w:val="21"/>
                                </w:rPr>
                                <w:t xml:space="preserve"> </w:t>
                              </w:r>
                              <w:r>
                                <w:rPr>
                                  <w:rFonts w:ascii="Tahoma" w:hAnsi="Tahoma" w:cs="Tahoma"/>
                                  <w:color w:val="303030"/>
                                  <w:sz w:val="21"/>
                                  <w:szCs w:val="21"/>
                                </w:rPr>
                                <w:t>for distributing COVID-19 Lateral Flow Devices (LFDs) to pharmacy team members. Previously, pharmacy contractors ordered LFD test kits from the Primary Care Support England portal. But staff should now order test kits for asymptomatic staff testing</w:t>
                              </w:r>
                              <w:r>
                                <w:rPr>
                                  <w:rStyle w:val="apple-converted-space"/>
                                  <w:rFonts w:ascii="Tahoma" w:hAnsi="Tahoma" w:cs="Tahoma"/>
                                  <w:color w:val="303030"/>
                                  <w:sz w:val="21"/>
                                  <w:szCs w:val="21"/>
                                </w:rPr>
                                <w:t> </w:t>
                              </w:r>
                              <w:hyperlink r:id="rId13" w:tgtFrame="_blank" w:history="1">
                                <w:r>
                                  <w:rPr>
                                    <w:rStyle w:val="Hyperlink"/>
                                    <w:rFonts w:ascii="Tahoma" w:hAnsi="Tahoma" w:cs="Tahoma"/>
                                    <w:b/>
                                    <w:bCs/>
                                    <w:color w:val="4E3487"/>
                                    <w:sz w:val="21"/>
                                    <w:szCs w:val="21"/>
                                  </w:rPr>
                                  <w:t>here</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Learn more about staff testing</w:t>
                                </w:r>
                              </w:hyperlink>
                            </w:p>
                            <w:p w14:paraId="5FC435BD" w14:textId="77777777" w:rsidR="00AC2DB8" w:rsidRDefault="006F3677" w:rsidP="00AC2DB8">
                              <w:pPr>
                                <w:jc w:val="both"/>
                                <w:rPr>
                                  <w:rFonts w:ascii="Tahoma" w:hAnsi="Tahoma" w:cs="Tahoma"/>
                                  <w:color w:val="303030"/>
                                  <w:sz w:val="21"/>
                                  <w:szCs w:val="21"/>
                                </w:rPr>
                              </w:pPr>
                              <w:r>
                                <w:rPr>
                                  <w:rFonts w:ascii="Tahoma" w:hAnsi="Tahoma" w:cs="Tahoma"/>
                                  <w:noProof/>
                                  <w:color w:val="303030"/>
                                  <w:sz w:val="21"/>
                                  <w:szCs w:val="21"/>
                                </w:rPr>
                                <w:pict w14:anchorId="05B7ED69">
                                  <v:rect id="_x0000_i1025" alt="" style="width:451.15pt;height:.05pt;mso-width-percent:0;mso-height-percent:0;mso-width-percent:0;mso-height-percent:0" o:hrpct="964" o:hralign="center" o:hrstd="t" o:hr="t" fillcolor="#a0a0a0" stroked="f"/>
                                </w:pict>
                              </w:r>
                            </w:p>
                            <w:p w14:paraId="054E6E1A" w14:textId="77777777" w:rsidR="00AC2DB8" w:rsidRPr="00AC2DB8" w:rsidRDefault="00AC2DB8" w:rsidP="00AC2DB8">
                              <w:pPr>
                                <w:pStyle w:val="Heading3"/>
                                <w:spacing w:before="0" w:after="75" w:line="297" w:lineRule="atLeast"/>
                                <w:rPr>
                                  <w:rFonts w:ascii="Tahoma" w:hAnsi="Tahoma" w:cs="Tahoma"/>
                                  <w:b/>
                                  <w:bCs/>
                                  <w:color w:val="4E3487"/>
                                  <w:sz w:val="28"/>
                                  <w:szCs w:val="28"/>
                                </w:rPr>
                              </w:pPr>
                              <w:r w:rsidRPr="00AC2DB8">
                                <w:rPr>
                                  <w:rFonts w:ascii="Tahoma" w:hAnsi="Tahoma" w:cs="Tahoma"/>
                                  <w:b/>
                                  <w:bCs/>
                                  <w:color w:val="4E3487"/>
                                  <w:sz w:val="28"/>
                                  <w:szCs w:val="28"/>
                                </w:rPr>
                                <w:t>Updates to PSNC's payment timetable and deadline tracker</w:t>
                              </w:r>
                            </w:p>
                            <w:p w14:paraId="2D7EDC42" w14:textId="3905B164" w:rsidR="00071CFB" w:rsidRPr="00BC05E0" w:rsidRDefault="00AC2DB8" w:rsidP="00BC05E0">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has updated its payment timetable and deadline tracker to include details of the COVID costs claims process. It also now reflects the deadline extensions to the Pandemic Delivery Service and the NHS community pharmacy COVID-19 lateral flow device distribution service (Pharmacy Collect).</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See PSNC's payment timetable and deadline tracker</w:t>
                                </w:r>
                              </w:hyperlink>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6"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5"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6F3677"/>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2289D"/>
    <w:multiLevelType w:val="multilevel"/>
    <w:tmpl w:val="AB7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6"/>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4"/>
  </w:num>
  <w:num w:numId="13">
    <w:abstractNumId w:val="4"/>
  </w:num>
  <w:num w:numId="14">
    <w:abstractNumId w:val="25"/>
  </w:num>
  <w:num w:numId="15">
    <w:abstractNumId w:val="28"/>
  </w:num>
  <w:num w:numId="16">
    <w:abstractNumId w:val="21"/>
  </w:num>
  <w:num w:numId="17">
    <w:abstractNumId w:val="22"/>
  </w:num>
  <w:num w:numId="18">
    <w:abstractNumId w:val="1"/>
  </w:num>
  <w:num w:numId="19">
    <w:abstractNumId w:val="9"/>
  </w:num>
  <w:num w:numId="20">
    <w:abstractNumId w:val="29"/>
  </w:num>
  <w:num w:numId="21">
    <w:abstractNumId w:val="18"/>
  </w:num>
  <w:num w:numId="22">
    <w:abstractNumId w:val="2"/>
  </w:num>
  <w:num w:numId="23">
    <w:abstractNumId w:val="16"/>
  </w:num>
  <w:num w:numId="24">
    <w:abstractNumId w:val="17"/>
  </w:num>
  <w:num w:numId="25">
    <w:abstractNumId w:val="20"/>
  </w:num>
  <w:num w:numId="26">
    <w:abstractNumId w:val="23"/>
  </w:num>
  <w:num w:numId="27">
    <w:abstractNumId w:val="6"/>
  </w:num>
  <w:num w:numId="28">
    <w:abstractNumId w:val="27"/>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3B22"/>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323D"/>
    <w:rsid w:val="006D417B"/>
    <w:rsid w:val="006E4214"/>
    <w:rsid w:val="006F1130"/>
    <w:rsid w:val="006F3677"/>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C2DB8"/>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22594"/>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6585746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014574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5876d1324b&amp;e=12757307a1"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nc.us7.list-manage.com/track/click?u=86d41ab7fa4c7c2c5d7210782&amp;id=3f47eea43b&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d17db82440&amp;e=12757307a1" TargetMode="External"/><Relationship Id="rId17" Type="http://schemas.openxmlformats.org/officeDocument/2006/relationships/hyperlink" Target="https://psnc.us7.list-manage.com/track/click?u=86d41ab7fa4c7c2c5d7210782&amp;id=0719e3152f&amp;e=d3dc5e7fbd" TargetMode="External"/><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b671e78d7a&amp;e=d3dc5e7fbd"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37a5f7f7fc&amp;e=12757307a1"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snc.us7.list-manage.com/track/click?u=86d41ab7fa4c7c2c5d7210782&amp;id=ca68d19490&amp;e=12757307a1" TargetMode="External"/><Relationship Id="rId23" Type="http://schemas.openxmlformats.org/officeDocument/2006/relationships/hyperlink" Target="https://psnc.us7.list-manage.com/track/click?u=86d41ab7fa4c7c2c5d7210782&amp;id=b774bcfe37&amp;e=d3dc5e7fbd" TargetMode="External"/><Relationship Id="rId10" Type="http://schemas.openxmlformats.org/officeDocument/2006/relationships/hyperlink" Target="https://psnc.us7.list-manage.com/track/click?u=86d41ab7fa4c7c2c5d7210782&amp;id=098c0d8305&amp;e=12757307a1" TargetMode="External"/><Relationship Id="rId19" Type="http://schemas.openxmlformats.org/officeDocument/2006/relationships/hyperlink" Target="https://psnc.us7.list-manage.com/track/click?u=86d41ab7fa4c7c2c5d7210782&amp;id=9f085df2d1&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d29e1409f2&amp;e=12757307a1" TargetMode="External"/><Relationship Id="rId14" Type="http://schemas.openxmlformats.org/officeDocument/2006/relationships/hyperlink" Target="https://psnc.us7.list-manage.com/track/click?u=86d41ab7fa4c7c2c5d7210782&amp;id=998a1b3401&amp;e=12757307a1"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3116</Words>
  <Characters>17764</Characters>
  <Application>Microsoft Office Word</Application>
  <DocSecurity>2</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2021-07-10T06:50:00Z</dcterms:created>
  <dcterms:modified xsi:type="dcterms:W3CDTF">2021-07-10T06:50:00Z</dcterms:modified>
</cp:coreProperties>
</file>