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F941" w14:textId="3A747053" w:rsidR="00C06176" w:rsidRPr="00C06176" w:rsidRDefault="00E7532D" w:rsidP="00BF7876">
      <w:pPr>
        <w:pStyle w:val="Heading1"/>
        <w:spacing w:before="0" w:after="80"/>
        <w:rPr>
          <w:b/>
          <w:bCs/>
          <w:sz w:val="16"/>
          <w:szCs w:val="16"/>
        </w:rPr>
      </w:pPr>
      <w:bookmarkStart w:id="0" w:name="_Hlk134114097"/>
      <w:r w:rsidRPr="009D6FFC">
        <w:rPr>
          <w:noProof/>
          <w:lang w:eastAsia="en-GB"/>
        </w:rPr>
        <w:drawing>
          <wp:anchor distT="0" distB="0" distL="114300" distR="114300" simplePos="0" relativeHeight="251659264" behindDoc="0" locked="0" layoutInCell="1" allowOverlap="1" wp14:anchorId="03D9B0BD" wp14:editId="3DEE874C">
            <wp:simplePos x="0" y="0"/>
            <wp:positionH relativeFrom="margin">
              <wp:align>left</wp:align>
            </wp:positionH>
            <wp:positionV relativeFrom="page">
              <wp:posOffset>514350</wp:posOffset>
            </wp:positionV>
            <wp:extent cx="2258136" cy="476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5093" cy="4777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0" locked="0" layoutInCell="1" allowOverlap="1" wp14:anchorId="48FB1A01" wp14:editId="7C55B54D">
            <wp:simplePos x="0" y="0"/>
            <wp:positionH relativeFrom="column">
              <wp:posOffset>2394585</wp:posOffset>
            </wp:positionH>
            <wp:positionV relativeFrom="margin">
              <wp:posOffset>-304800</wp:posOffset>
            </wp:positionV>
            <wp:extent cx="4109642" cy="542925"/>
            <wp:effectExtent l="0" t="0" r="0" b="0"/>
            <wp:wrapNone/>
            <wp:docPr id="1"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sign with text&#10;&#10;Description automatically generated"/>
                    <pic:cNvPicPr/>
                  </pic:nvPicPr>
                  <pic:blipFill rotWithShape="1">
                    <a:blip r:embed="rId11" cstate="print">
                      <a:extLst>
                        <a:ext uri="{28A0092B-C50C-407E-A947-70E740481C1C}">
                          <a14:useLocalDpi xmlns:a14="http://schemas.microsoft.com/office/drawing/2010/main" val="0"/>
                        </a:ext>
                      </a:extLst>
                    </a:blip>
                    <a:srcRect b="40335"/>
                    <a:stretch/>
                  </pic:blipFill>
                  <pic:spPr bwMode="auto">
                    <a:xfrm>
                      <a:off x="0" y="0"/>
                      <a:ext cx="4109642"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5D7B85" w14:textId="58569BDB" w:rsidR="00E7532D" w:rsidRDefault="00E7532D" w:rsidP="00BF7876">
      <w:pPr>
        <w:pStyle w:val="Heading1"/>
        <w:spacing w:before="0" w:after="80"/>
        <w:rPr>
          <w:b/>
          <w:bCs/>
        </w:rPr>
      </w:pPr>
    </w:p>
    <w:p w14:paraId="0E82B625" w14:textId="104C4F87" w:rsidR="004A5609" w:rsidRPr="00E7532D" w:rsidRDefault="004A5609" w:rsidP="00E7532D">
      <w:pPr>
        <w:pStyle w:val="Heading1"/>
        <w:spacing w:before="0" w:after="80"/>
        <w:jc w:val="center"/>
        <w:rPr>
          <w:b/>
          <w:bCs/>
          <w:color w:val="44546A" w:themeColor="text2"/>
        </w:rPr>
      </w:pPr>
      <w:r w:rsidRPr="00E7532D">
        <w:rPr>
          <w:b/>
          <w:bCs/>
          <w:color w:val="44546A" w:themeColor="text2"/>
        </w:rPr>
        <w:t xml:space="preserve">Primary Care </w:t>
      </w:r>
      <w:r w:rsidR="007776F4" w:rsidRPr="00E7532D">
        <w:rPr>
          <w:b/>
          <w:bCs/>
          <w:color w:val="44546A" w:themeColor="text2"/>
        </w:rPr>
        <w:t xml:space="preserve">In-Practice </w:t>
      </w:r>
      <w:r w:rsidRPr="00E7532D">
        <w:rPr>
          <w:b/>
          <w:bCs/>
          <w:color w:val="44546A" w:themeColor="text2"/>
        </w:rPr>
        <w:t>Research Apprenticeship</w:t>
      </w:r>
      <w:r w:rsidR="007776F4" w:rsidRPr="00E7532D">
        <w:rPr>
          <w:b/>
          <w:bCs/>
          <w:color w:val="44546A" w:themeColor="text2"/>
        </w:rPr>
        <w:t>s</w:t>
      </w:r>
      <w:r w:rsidRPr="00E7532D">
        <w:rPr>
          <w:b/>
          <w:bCs/>
          <w:color w:val="44546A" w:themeColor="text2"/>
        </w:rPr>
        <w:t xml:space="preserve"> </w:t>
      </w:r>
      <w:bookmarkEnd w:id="0"/>
      <w:r w:rsidRPr="00E7532D">
        <w:rPr>
          <w:b/>
          <w:bCs/>
          <w:color w:val="44546A" w:themeColor="text2"/>
        </w:rPr>
        <w:t>20</w:t>
      </w:r>
      <w:r w:rsidR="00E40165" w:rsidRPr="00E7532D">
        <w:rPr>
          <w:b/>
          <w:bCs/>
          <w:color w:val="44546A" w:themeColor="text2"/>
        </w:rPr>
        <w:t>2</w:t>
      </w:r>
      <w:r w:rsidR="00A100AA" w:rsidRPr="00E7532D">
        <w:rPr>
          <w:b/>
          <w:bCs/>
          <w:color w:val="44546A" w:themeColor="text2"/>
        </w:rPr>
        <w:t>4</w:t>
      </w:r>
      <w:r w:rsidR="00E40165" w:rsidRPr="00E7532D">
        <w:rPr>
          <w:b/>
          <w:bCs/>
          <w:color w:val="44546A" w:themeColor="text2"/>
        </w:rPr>
        <w:t>-2</w:t>
      </w:r>
      <w:r w:rsidR="00A100AA" w:rsidRPr="00E7532D">
        <w:rPr>
          <w:b/>
          <w:bCs/>
          <w:color w:val="44546A" w:themeColor="text2"/>
        </w:rPr>
        <w:t>5</w:t>
      </w:r>
    </w:p>
    <w:p w14:paraId="7140126A" w14:textId="682E72E0" w:rsidR="004A5609" w:rsidRPr="006006C9" w:rsidRDefault="004A5609" w:rsidP="005E5CD9">
      <w:pPr>
        <w:spacing w:after="0"/>
        <w:rPr>
          <w:sz w:val="26"/>
          <w:szCs w:val="26"/>
        </w:rPr>
      </w:pPr>
      <w:r w:rsidRPr="006006C9">
        <w:rPr>
          <w:sz w:val="26"/>
          <w:szCs w:val="26"/>
        </w:rPr>
        <w:t xml:space="preserve">The </w:t>
      </w:r>
      <w:r w:rsidRPr="005A75CB">
        <w:rPr>
          <w:b/>
          <w:bCs/>
          <w:sz w:val="26"/>
          <w:szCs w:val="26"/>
        </w:rPr>
        <w:t>Primary Care Research Centre</w:t>
      </w:r>
      <w:r w:rsidRPr="006006C9">
        <w:rPr>
          <w:sz w:val="26"/>
          <w:szCs w:val="26"/>
        </w:rPr>
        <w:t xml:space="preserve"> at the University of Southampton, in collaboration with </w:t>
      </w:r>
      <w:r w:rsidRPr="005A75CB">
        <w:rPr>
          <w:b/>
          <w:bCs/>
          <w:sz w:val="26"/>
          <w:szCs w:val="26"/>
        </w:rPr>
        <w:t>Southern Health Foundation Trust</w:t>
      </w:r>
      <w:r w:rsidRPr="006006C9">
        <w:rPr>
          <w:sz w:val="26"/>
          <w:szCs w:val="26"/>
        </w:rPr>
        <w:t xml:space="preserve"> </w:t>
      </w:r>
      <w:r w:rsidR="005A75CB">
        <w:rPr>
          <w:sz w:val="26"/>
          <w:szCs w:val="26"/>
        </w:rPr>
        <w:t xml:space="preserve">and </w:t>
      </w:r>
      <w:r w:rsidR="005A75CB" w:rsidRPr="005A75CB">
        <w:rPr>
          <w:b/>
          <w:bCs/>
          <w:sz w:val="26"/>
          <w:szCs w:val="26"/>
        </w:rPr>
        <w:t>Solent NHS Trust</w:t>
      </w:r>
      <w:r w:rsidR="005A75CB">
        <w:rPr>
          <w:b/>
          <w:bCs/>
          <w:sz w:val="26"/>
          <w:szCs w:val="26"/>
        </w:rPr>
        <w:t>,</w:t>
      </w:r>
      <w:r w:rsidR="005A75CB">
        <w:rPr>
          <w:sz w:val="26"/>
          <w:szCs w:val="26"/>
        </w:rPr>
        <w:t xml:space="preserve"> </w:t>
      </w:r>
      <w:r w:rsidRPr="006006C9">
        <w:rPr>
          <w:sz w:val="26"/>
          <w:szCs w:val="26"/>
        </w:rPr>
        <w:t xml:space="preserve">is delighted to offer a Primary Care </w:t>
      </w:r>
      <w:r w:rsidR="00BE1FEB" w:rsidRPr="006006C9">
        <w:rPr>
          <w:sz w:val="26"/>
          <w:szCs w:val="26"/>
        </w:rPr>
        <w:t xml:space="preserve">in-Practice </w:t>
      </w:r>
      <w:r w:rsidRPr="006006C9">
        <w:rPr>
          <w:sz w:val="26"/>
          <w:szCs w:val="26"/>
        </w:rPr>
        <w:t>Research Apprenticeship Scheme.</w:t>
      </w:r>
    </w:p>
    <w:p w14:paraId="239AD0DC" w14:textId="77777777" w:rsidR="009D6FFC" w:rsidRDefault="009D6FFC" w:rsidP="00C06176">
      <w:pPr>
        <w:spacing w:after="0" w:line="240" w:lineRule="auto"/>
      </w:pPr>
    </w:p>
    <w:p w14:paraId="4A5BABA7" w14:textId="77777777" w:rsidR="004A5609" w:rsidRPr="006006C9" w:rsidRDefault="004A5609" w:rsidP="00BF7876">
      <w:pPr>
        <w:spacing w:after="80"/>
        <w:rPr>
          <w:b/>
          <w:bCs/>
          <w:color w:val="4472C4" w:themeColor="accent1"/>
        </w:rPr>
      </w:pPr>
      <w:r w:rsidRPr="006006C9">
        <w:rPr>
          <w:b/>
          <w:bCs/>
          <w:color w:val="4472C4" w:themeColor="accent1"/>
        </w:rPr>
        <w:t>Who is this aimed at?</w:t>
      </w:r>
    </w:p>
    <w:p w14:paraId="39D50D4B" w14:textId="4BFBCB66" w:rsidR="004A5609" w:rsidRDefault="004A5609" w:rsidP="005E5CD9">
      <w:pPr>
        <w:spacing w:after="0"/>
      </w:pPr>
      <w:r>
        <w:t>Are you a GP</w:t>
      </w:r>
      <w:r w:rsidR="009D6FFC">
        <w:t>, Practice Nurse, Pharmacist</w:t>
      </w:r>
      <w:r>
        <w:t xml:space="preserve"> or other Primary or Secondary Care Health Professional </w:t>
      </w:r>
      <w:r w:rsidR="006F0758">
        <w:t xml:space="preserve">in Wessex </w:t>
      </w:r>
      <w:r>
        <w:t>interested in Primary Care research</w:t>
      </w:r>
      <w:r w:rsidR="00714713">
        <w:t>?</w:t>
      </w:r>
      <w:r>
        <w:t xml:space="preserve"> Are you </w:t>
      </w:r>
      <w:r w:rsidR="00714713">
        <w:t xml:space="preserve">working </w:t>
      </w:r>
      <w:r>
        <w:t xml:space="preserve">in a research practice </w:t>
      </w:r>
      <w:r w:rsidR="009D6FFC">
        <w:t>and</w:t>
      </w:r>
      <w:r>
        <w:t xml:space="preserve"> would like to learn more about research design</w:t>
      </w:r>
      <w:r w:rsidR="009D6FFC">
        <w:t xml:space="preserve"> or other aspects of the research process</w:t>
      </w:r>
      <w:r>
        <w:t xml:space="preserve">? </w:t>
      </w:r>
    </w:p>
    <w:p w14:paraId="0F90FE4B" w14:textId="77777777" w:rsidR="004A5609" w:rsidRDefault="004A5609" w:rsidP="00C06176">
      <w:pPr>
        <w:spacing w:after="0" w:line="240" w:lineRule="auto"/>
      </w:pPr>
    </w:p>
    <w:p w14:paraId="6D4E3FD3" w14:textId="0139557B" w:rsidR="004A5609" w:rsidRPr="006006C9" w:rsidRDefault="004A5609" w:rsidP="00BF7876">
      <w:pPr>
        <w:spacing w:after="80"/>
        <w:rPr>
          <w:b/>
          <w:bCs/>
          <w:color w:val="4472C4" w:themeColor="accent1"/>
        </w:rPr>
      </w:pPr>
      <w:r w:rsidRPr="006006C9">
        <w:rPr>
          <w:b/>
          <w:bCs/>
          <w:color w:val="4472C4" w:themeColor="accent1"/>
        </w:rPr>
        <w:t>What is involved?</w:t>
      </w:r>
    </w:p>
    <w:p w14:paraId="2EE101BA" w14:textId="22B7B616" w:rsidR="004A5609" w:rsidRDefault="004A5609" w:rsidP="00BF7876">
      <w:pPr>
        <w:spacing w:after="80"/>
      </w:pPr>
      <w:r>
        <w:t xml:space="preserve">You would be invited to </w:t>
      </w:r>
      <w:r w:rsidR="009D6FFC">
        <w:t>join</w:t>
      </w:r>
      <w:r>
        <w:t xml:space="preserve"> a piece of funded research</w:t>
      </w:r>
      <w:r w:rsidR="00457BAF">
        <w:t xml:space="preserve">, to shadow the team and get involved in aspects of the research, </w:t>
      </w:r>
      <w:r>
        <w:t xml:space="preserve">e.g. looking at data, conducting interviews, analysing interview data, developing </w:t>
      </w:r>
      <w:r w:rsidR="00457BAF">
        <w:t xml:space="preserve">study </w:t>
      </w:r>
      <w:r>
        <w:t>materials</w:t>
      </w:r>
      <w:r w:rsidR="00457BAF">
        <w:t xml:space="preserve"> and outputs</w:t>
      </w:r>
      <w:r>
        <w:t>.</w:t>
      </w:r>
    </w:p>
    <w:p w14:paraId="530678CF" w14:textId="4DF2D169" w:rsidR="005F6561" w:rsidRDefault="00B271FE" w:rsidP="005E5CD9">
      <w:pPr>
        <w:spacing w:after="0"/>
      </w:pPr>
      <w:r>
        <w:t xml:space="preserve">You </w:t>
      </w:r>
      <w:r w:rsidR="005F6561">
        <w:t>will also have access to mentoring in primary care research to help you develop and pursue research ideas.</w:t>
      </w:r>
    </w:p>
    <w:p w14:paraId="3CA0206A" w14:textId="77777777" w:rsidR="009D6FFC" w:rsidRDefault="009D6FFC" w:rsidP="00C06176">
      <w:pPr>
        <w:spacing w:after="0" w:line="240" w:lineRule="auto"/>
        <w:rPr>
          <w:b/>
          <w:bCs/>
        </w:rPr>
      </w:pPr>
    </w:p>
    <w:p w14:paraId="090C0F38" w14:textId="43377665" w:rsidR="004A5609" w:rsidRPr="006006C9" w:rsidRDefault="00ED78A9" w:rsidP="00BF7876">
      <w:pPr>
        <w:spacing w:after="80"/>
        <w:rPr>
          <w:b/>
          <w:bCs/>
          <w:color w:val="4472C4" w:themeColor="accent1"/>
        </w:rPr>
      </w:pPr>
      <w:r w:rsidRPr="006006C9">
        <w:rPr>
          <w:b/>
          <w:bCs/>
          <w:color w:val="4472C4" w:themeColor="accent1"/>
        </w:rPr>
        <w:t xml:space="preserve">What </w:t>
      </w:r>
      <w:r w:rsidR="004A5609" w:rsidRPr="006006C9">
        <w:rPr>
          <w:b/>
          <w:bCs/>
          <w:color w:val="4472C4" w:themeColor="accent1"/>
        </w:rPr>
        <w:t>time</w:t>
      </w:r>
      <w:r w:rsidRPr="006006C9">
        <w:rPr>
          <w:b/>
          <w:bCs/>
          <w:color w:val="4472C4" w:themeColor="accent1"/>
        </w:rPr>
        <w:t xml:space="preserve"> and funding is available</w:t>
      </w:r>
      <w:r w:rsidR="004A5609" w:rsidRPr="006006C9">
        <w:rPr>
          <w:b/>
          <w:bCs/>
          <w:color w:val="4472C4" w:themeColor="accent1"/>
        </w:rPr>
        <w:t>?</w:t>
      </w:r>
    </w:p>
    <w:p w14:paraId="311E7CE8" w14:textId="4DF6E784" w:rsidR="00457BAF" w:rsidRDefault="004A5609" w:rsidP="005E5CD9">
      <w:pPr>
        <w:spacing w:after="0"/>
      </w:pPr>
      <w:r>
        <w:t xml:space="preserve">Each project will vary and working arrangements will be organised with the project </w:t>
      </w:r>
      <w:r w:rsidR="009D6FFC">
        <w:t>team and</w:t>
      </w:r>
      <w:r>
        <w:t xml:space="preserve"> according to your availability and the project tasks.</w:t>
      </w:r>
      <w:r w:rsidR="00ED78A9">
        <w:t xml:space="preserve"> </w:t>
      </w:r>
      <w:r w:rsidR="00457BAF">
        <w:t>There are 5 apprenticeships of £1000-£2000 each, depending on time available, which will run until 31 March 202</w:t>
      </w:r>
      <w:r w:rsidR="00733B86">
        <w:t>5</w:t>
      </w:r>
      <w:r w:rsidR="00ED78A9">
        <w:t>.</w:t>
      </w:r>
    </w:p>
    <w:p w14:paraId="23C313A2" w14:textId="77777777" w:rsidR="00457BAF" w:rsidRDefault="00457BAF" w:rsidP="00C06176">
      <w:pPr>
        <w:spacing w:after="0" w:line="240" w:lineRule="auto"/>
        <w:rPr>
          <w:b/>
          <w:bCs/>
        </w:rPr>
      </w:pPr>
    </w:p>
    <w:p w14:paraId="0A290858" w14:textId="79AAAD30" w:rsidR="00457BAF" w:rsidRPr="006006C9" w:rsidRDefault="00457BAF" w:rsidP="00BF7876">
      <w:pPr>
        <w:spacing w:after="80"/>
        <w:rPr>
          <w:b/>
          <w:bCs/>
          <w:color w:val="4472C4" w:themeColor="accent1"/>
        </w:rPr>
      </w:pPr>
      <w:r w:rsidRPr="006006C9">
        <w:rPr>
          <w:b/>
          <w:bCs/>
          <w:color w:val="4472C4" w:themeColor="accent1"/>
        </w:rPr>
        <w:t>Where will it lead?</w:t>
      </w:r>
    </w:p>
    <w:p w14:paraId="6331BFC1" w14:textId="15773365" w:rsidR="00457BAF" w:rsidRDefault="004C5608" w:rsidP="005E5CD9">
      <w:pPr>
        <w:spacing w:after="0"/>
      </w:pPr>
      <w:r>
        <w:t xml:space="preserve">If you enjoy </w:t>
      </w:r>
      <w:r w:rsidR="00335DBF">
        <w:t xml:space="preserve">primary care </w:t>
      </w:r>
      <w:r>
        <w:t xml:space="preserve">research and would like to </w:t>
      </w:r>
      <w:r w:rsidR="00BF7876">
        <w:t>pursue this further</w:t>
      </w:r>
      <w:r w:rsidR="00E7532D">
        <w:t>,</w:t>
      </w:r>
      <w:r w:rsidR="00BF7876">
        <w:t xml:space="preserve"> we would support you in seeking funding for a subsequent fellowship.</w:t>
      </w:r>
    </w:p>
    <w:p w14:paraId="1B4F4F33" w14:textId="77777777" w:rsidR="00BF7876" w:rsidRDefault="00BF7876" w:rsidP="00C06176">
      <w:pPr>
        <w:spacing w:after="0" w:line="240" w:lineRule="auto"/>
        <w:rPr>
          <w:b/>
          <w:bCs/>
        </w:rPr>
      </w:pPr>
    </w:p>
    <w:p w14:paraId="318C6532" w14:textId="7FD4A1C7" w:rsidR="00457BAF" w:rsidRPr="006006C9" w:rsidRDefault="00457BAF" w:rsidP="00BF7876">
      <w:pPr>
        <w:spacing w:after="80"/>
        <w:rPr>
          <w:b/>
          <w:bCs/>
          <w:color w:val="4472C4" w:themeColor="accent1"/>
        </w:rPr>
      </w:pPr>
      <w:r w:rsidRPr="006006C9">
        <w:rPr>
          <w:b/>
          <w:bCs/>
          <w:color w:val="4472C4" w:themeColor="accent1"/>
        </w:rPr>
        <w:t>Can I reapply in subsequent years?</w:t>
      </w:r>
    </w:p>
    <w:p w14:paraId="5DD8E4A2" w14:textId="7CD13A50" w:rsidR="00457BAF" w:rsidRDefault="00457BAF" w:rsidP="005E5CD9">
      <w:pPr>
        <w:spacing w:after="0"/>
      </w:pPr>
      <w:r>
        <w:t xml:space="preserve">Participants </w:t>
      </w:r>
      <w:r w:rsidR="0081103D">
        <w:t xml:space="preserve">who have previously taken part in the apprenticeship scheme </w:t>
      </w:r>
      <w:r>
        <w:t xml:space="preserve">can reapply in subsequent years – please outline in your covering letter what you have </w:t>
      </w:r>
      <w:r w:rsidR="0081103D">
        <w:t xml:space="preserve">gained </w:t>
      </w:r>
      <w:r>
        <w:t>so far and what you anticipate will be the benefits of further funding.</w:t>
      </w:r>
    </w:p>
    <w:p w14:paraId="6674F2E5" w14:textId="77777777" w:rsidR="00BF7876" w:rsidRDefault="00BF7876" w:rsidP="00C06176">
      <w:pPr>
        <w:spacing w:after="0" w:line="240" w:lineRule="auto"/>
        <w:rPr>
          <w:b/>
          <w:bCs/>
        </w:rPr>
      </w:pPr>
    </w:p>
    <w:p w14:paraId="155614A6" w14:textId="5574FA25" w:rsidR="00457BAF" w:rsidRPr="006006C9" w:rsidRDefault="00457BAF" w:rsidP="00BF7876">
      <w:pPr>
        <w:spacing w:after="80"/>
        <w:rPr>
          <w:b/>
          <w:bCs/>
          <w:color w:val="4472C4" w:themeColor="accent1"/>
        </w:rPr>
      </w:pPr>
      <w:r w:rsidRPr="006006C9">
        <w:rPr>
          <w:b/>
          <w:bCs/>
          <w:color w:val="4472C4" w:themeColor="accent1"/>
        </w:rPr>
        <w:t xml:space="preserve">How do </w:t>
      </w:r>
      <w:r w:rsidR="007F22F2" w:rsidRPr="006006C9">
        <w:rPr>
          <w:b/>
          <w:bCs/>
          <w:color w:val="4472C4" w:themeColor="accent1"/>
        </w:rPr>
        <w:t xml:space="preserve">I </w:t>
      </w:r>
      <w:r w:rsidRPr="006006C9">
        <w:rPr>
          <w:b/>
          <w:bCs/>
          <w:color w:val="4472C4" w:themeColor="accent1"/>
        </w:rPr>
        <w:t>apply?</w:t>
      </w:r>
    </w:p>
    <w:p w14:paraId="4A604982" w14:textId="69CA6AFC" w:rsidR="00457BAF" w:rsidRDefault="00847AC9" w:rsidP="00BF7876">
      <w:pPr>
        <w:spacing w:after="80"/>
      </w:pPr>
      <w:r>
        <w:t>A</w:t>
      </w:r>
      <w:r w:rsidR="00457BAF">
        <w:t xml:space="preserve">pply by </w:t>
      </w:r>
      <w:r w:rsidR="00457BAF" w:rsidRPr="006006C9">
        <w:rPr>
          <w:b/>
          <w:bCs/>
        </w:rPr>
        <w:t xml:space="preserve">Friday </w:t>
      </w:r>
      <w:r w:rsidR="003E63C8">
        <w:rPr>
          <w:b/>
          <w:bCs/>
        </w:rPr>
        <w:t>2</w:t>
      </w:r>
      <w:r w:rsidR="00A55E4C">
        <w:rPr>
          <w:b/>
          <w:bCs/>
        </w:rPr>
        <w:t>6</w:t>
      </w:r>
      <w:r w:rsidR="00443BC3" w:rsidRPr="006006C9">
        <w:rPr>
          <w:b/>
          <w:bCs/>
          <w:vertAlign w:val="superscript"/>
        </w:rPr>
        <w:t>th</w:t>
      </w:r>
      <w:r w:rsidR="00443BC3" w:rsidRPr="006006C9">
        <w:rPr>
          <w:b/>
          <w:bCs/>
        </w:rPr>
        <w:t xml:space="preserve"> July 202</w:t>
      </w:r>
      <w:r w:rsidR="003E63C8">
        <w:rPr>
          <w:b/>
          <w:bCs/>
        </w:rPr>
        <w:t>4</w:t>
      </w:r>
      <w:r w:rsidR="00457BAF">
        <w:t xml:space="preserve"> providing the following</w:t>
      </w:r>
      <w:r>
        <w:t xml:space="preserve"> </w:t>
      </w:r>
      <w:r w:rsidR="005C2325">
        <w:t>to</w:t>
      </w:r>
      <w:r>
        <w:t xml:space="preserve"> Professor Miriam Santer </w:t>
      </w:r>
      <w:hyperlink r:id="rId12" w:history="1">
        <w:r w:rsidR="00443BC3" w:rsidRPr="00586572">
          <w:rPr>
            <w:rStyle w:val="Hyperlink"/>
          </w:rPr>
          <w:t>m.santer@soton.ac.uk</w:t>
        </w:r>
      </w:hyperlink>
      <w:r w:rsidR="00443BC3">
        <w:t xml:space="preserve"> </w:t>
      </w:r>
      <w:r w:rsidR="005C2325">
        <w:t xml:space="preserve">and Jo Kelly (Research Operations Manager) </w:t>
      </w:r>
      <w:hyperlink r:id="rId13" w:history="1">
        <w:r w:rsidR="005C2325" w:rsidRPr="00316CEA">
          <w:rPr>
            <w:rStyle w:val="Hyperlink"/>
          </w:rPr>
          <w:t>j.kelly@soton.ac.uk</w:t>
        </w:r>
      </w:hyperlink>
      <w:r w:rsidR="00E7532D">
        <w:rPr>
          <w:rStyle w:val="Hyperlink"/>
        </w:rPr>
        <w:t>.</w:t>
      </w:r>
      <w:r w:rsidR="005C2325">
        <w:t xml:space="preserve"> </w:t>
      </w:r>
    </w:p>
    <w:p w14:paraId="43EBD19D" w14:textId="58F9EBC4" w:rsidR="00457BAF" w:rsidRDefault="00520814" w:rsidP="00BF7876">
      <w:pPr>
        <w:spacing w:after="80"/>
      </w:pPr>
      <w:r>
        <w:t xml:space="preserve">Short CV </w:t>
      </w:r>
      <w:r w:rsidR="001833E8">
        <w:t>and c</w:t>
      </w:r>
      <w:r w:rsidR="00457BAF">
        <w:t xml:space="preserve">overing letter (max </w:t>
      </w:r>
      <w:r w:rsidR="001833E8">
        <w:t>3</w:t>
      </w:r>
      <w:r w:rsidR="00457BAF">
        <w:t>50 words)</w:t>
      </w:r>
      <w:r w:rsidR="00C21034">
        <w:t xml:space="preserve"> explaining</w:t>
      </w:r>
      <w:r w:rsidR="005A75CB">
        <w:t>:</w:t>
      </w:r>
    </w:p>
    <w:p w14:paraId="670858E4" w14:textId="46471013" w:rsidR="00C21034" w:rsidRDefault="00C21034" w:rsidP="001833E8">
      <w:pPr>
        <w:pStyle w:val="ListParagraph"/>
        <w:numPr>
          <w:ilvl w:val="0"/>
          <w:numId w:val="6"/>
        </w:numPr>
        <w:spacing w:after="80"/>
      </w:pPr>
      <w:r>
        <w:t>why you want to apply</w:t>
      </w:r>
    </w:p>
    <w:p w14:paraId="4FB92873" w14:textId="77777777" w:rsidR="00520814" w:rsidRDefault="00626D56" w:rsidP="001833E8">
      <w:pPr>
        <w:pStyle w:val="ListParagraph"/>
        <w:numPr>
          <w:ilvl w:val="0"/>
          <w:numId w:val="6"/>
        </w:numPr>
        <w:spacing w:after="80"/>
      </w:pPr>
      <w:r>
        <w:t xml:space="preserve">how you think the </w:t>
      </w:r>
      <w:r w:rsidRPr="00626D56">
        <w:t xml:space="preserve">Primary Care In-Practice Research Apprenticeships </w:t>
      </w:r>
      <w:r>
        <w:t>will benefit you</w:t>
      </w:r>
    </w:p>
    <w:p w14:paraId="2698C961" w14:textId="536A9A58" w:rsidR="00520814" w:rsidRDefault="00520814" w:rsidP="001833E8">
      <w:pPr>
        <w:pStyle w:val="ListParagraph"/>
        <w:numPr>
          <w:ilvl w:val="0"/>
          <w:numId w:val="6"/>
        </w:numPr>
        <w:spacing w:after="80"/>
      </w:pPr>
      <w:r>
        <w:t>which research area you are most interested in</w:t>
      </w:r>
      <w:r w:rsidR="005E5CD9">
        <w:t xml:space="preserve"> (see below)</w:t>
      </w:r>
    </w:p>
    <w:p w14:paraId="1D6E80BE" w14:textId="616E1522" w:rsidR="00C06176" w:rsidRDefault="00C06176" w:rsidP="001833E8">
      <w:pPr>
        <w:pStyle w:val="ListParagraph"/>
        <w:numPr>
          <w:ilvl w:val="0"/>
          <w:numId w:val="6"/>
        </w:numPr>
        <w:spacing w:after="80"/>
      </w:pPr>
      <w:r>
        <w:t>If you plan to do the apprenticeship in work hours please include a covering letter from your line manager.</w:t>
      </w:r>
    </w:p>
    <w:p w14:paraId="7B06068E" w14:textId="64024C48" w:rsidR="00694F31" w:rsidRDefault="00694F31" w:rsidP="00BF7876">
      <w:pPr>
        <w:spacing w:after="80"/>
        <w:sectPr w:rsidR="00694F31" w:rsidSect="00E7532D">
          <w:headerReference w:type="default" r:id="rId14"/>
          <w:pgSz w:w="11906" w:h="16838"/>
          <w:pgMar w:top="1134" w:right="1134" w:bottom="567" w:left="1134" w:header="708" w:footer="708" w:gutter="0"/>
          <w:cols w:space="708"/>
          <w:docGrid w:linePitch="360"/>
        </w:sectPr>
      </w:pPr>
    </w:p>
    <w:p w14:paraId="7989942D" w14:textId="33FC97BB" w:rsidR="00452386" w:rsidRPr="006006C9" w:rsidRDefault="00452386" w:rsidP="00452386">
      <w:pPr>
        <w:pStyle w:val="Header"/>
        <w:rPr>
          <w:lang w:eastAsia="en-GB"/>
        </w:rPr>
      </w:pPr>
      <w:r w:rsidRPr="006006C9">
        <w:lastRenderedPageBreak/>
        <w:t xml:space="preserve">Please take a look at the </w:t>
      </w:r>
      <w:hyperlink r:id="rId15" w:history="1">
        <w:r w:rsidRPr="00935C48">
          <w:rPr>
            <w:rStyle w:val="Hyperlink"/>
            <w:b/>
            <w:bCs/>
            <w:lang w:eastAsia="en-GB"/>
          </w:rPr>
          <w:t xml:space="preserve">Primary Care </w:t>
        </w:r>
        <w:r w:rsidR="00935C48" w:rsidRPr="00935C48">
          <w:rPr>
            <w:rStyle w:val="Hyperlink"/>
            <w:b/>
            <w:bCs/>
            <w:lang w:eastAsia="en-GB"/>
          </w:rPr>
          <w:t xml:space="preserve">Research Centre </w:t>
        </w:r>
        <w:r w:rsidRPr="00935C48">
          <w:rPr>
            <w:rStyle w:val="Hyperlink"/>
            <w:b/>
            <w:bCs/>
            <w:lang w:eastAsia="en-GB"/>
          </w:rPr>
          <w:t>website</w:t>
        </w:r>
      </w:hyperlink>
      <w:r w:rsidRPr="006006C9">
        <w:rPr>
          <w:color w:val="2F5496" w:themeColor="accent1" w:themeShade="BF"/>
          <w:lang w:eastAsia="en-GB"/>
        </w:rPr>
        <w:t xml:space="preserve"> </w:t>
      </w:r>
      <w:r w:rsidRPr="006006C9">
        <w:rPr>
          <w:lang w:eastAsia="en-GB"/>
        </w:rPr>
        <w:t xml:space="preserve">to learn more about </w:t>
      </w:r>
      <w:r w:rsidR="000970D0">
        <w:rPr>
          <w:lang w:eastAsia="en-GB"/>
        </w:rPr>
        <w:t xml:space="preserve">our </w:t>
      </w:r>
      <w:r w:rsidRPr="006006C9">
        <w:rPr>
          <w:lang w:eastAsia="en-GB"/>
        </w:rPr>
        <w:t xml:space="preserve">research and who to contact. Examples of projects apprentices could be involved in: </w:t>
      </w:r>
    </w:p>
    <w:p w14:paraId="2E068C24" w14:textId="77777777" w:rsidR="00452386" w:rsidRDefault="00452386" w:rsidP="00452386">
      <w:pPr>
        <w:pStyle w:val="Header"/>
        <w:rPr>
          <w:b/>
          <w:bCs/>
        </w:rPr>
      </w:pPr>
    </w:p>
    <w:tbl>
      <w:tblPr>
        <w:tblStyle w:val="TableGrid"/>
        <w:tblW w:w="9776" w:type="dxa"/>
        <w:tblLook w:val="04A0" w:firstRow="1" w:lastRow="0" w:firstColumn="1" w:lastColumn="0" w:noHBand="0" w:noVBand="1"/>
      </w:tblPr>
      <w:tblGrid>
        <w:gridCol w:w="2578"/>
        <w:gridCol w:w="1598"/>
        <w:gridCol w:w="5600"/>
      </w:tblGrid>
      <w:tr w:rsidR="00452386" w:rsidRPr="006620BB" w14:paraId="76039E3E" w14:textId="77777777" w:rsidTr="004B0DE2">
        <w:tc>
          <w:tcPr>
            <w:tcW w:w="2578" w:type="dxa"/>
          </w:tcPr>
          <w:p w14:paraId="4C3B1C6A" w14:textId="77777777" w:rsidR="00452386" w:rsidRPr="00A124C2" w:rsidRDefault="00452386" w:rsidP="00C3139E">
            <w:pPr>
              <w:rPr>
                <w:b/>
                <w:bCs/>
              </w:rPr>
            </w:pPr>
            <w:r w:rsidRPr="00A124C2">
              <w:rPr>
                <w:b/>
                <w:bCs/>
              </w:rPr>
              <w:t>Chief Investigator</w:t>
            </w:r>
          </w:p>
        </w:tc>
        <w:tc>
          <w:tcPr>
            <w:tcW w:w="1598" w:type="dxa"/>
          </w:tcPr>
          <w:p w14:paraId="12BDF876" w14:textId="77777777" w:rsidR="00452386" w:rsidRPr="00A124C2" w:rsidRDefault="00452386" w:rsidP="00C3139E">
            <w:pPr>
              <w:rPr>
                <w:b/>
                <w:bCs/>
              </w:rPr>
            </w:pPr>
            <w:r w:rsidRPr="00A124C2">
              <w:rPr>
                <w:b/>
                <w:bCs/>
              </w:rPr>
              <w:t>Project title</w:t>
            </w:r>
          </w:p>
        </w:tc>
        <w:tc>
          <w:tcPr>
            <w:tcW w:w="5600" w:type="dxa"/>
          </w:tcPr>
          <w:p w14:paraId="1CF17434" w14:textId="77777777" w:rsidR="00452386" w:rsidRPr="00A124C2" w:rsidRDefault="00452386" w:rsidP="00C3139E">
            <w:pPr>
              <w:rPr>
                <w:b/>
                <w:bCs/>
              </w:rPr>
            </w:pPr>
            <w:r>
              <w:rPr>
                <w:b/>
                <w:bCs/>
              </w:rPr>
              <w:t>Project description and involvement</w:t>
            </w:r>
          </w:p>
        </w:tc>
      </w:tr>
      <w:tr w:rsidR="00610D37" w:rsidRPr="006620BB" w14:paraId="25C30F28" w14:textId="77777777" w:rsidTr="004B0DE2">
        <w:tc>
          <w:tcPr>
            <w:tcW w:w="2578" w:type="dxa"/>
          </w:tcPr>
          <w:p w14:paraId="01919048" w14:textId="77777777" w:rsidR="00610D37" w:rsidRDefault="00610D37" w:rsidP="00610D37">
            <w:pPr>
              <w:rPr>
                <w:lang w:val="pt-PT"/>
              </w:rPr>
            </w:pPr>
            <w:r>
              <w:rPr>
                <w:lang w:val="pt-PT"/>
              </w:rPr>
              <w:t xml:space="preserve">Mark Lown </w:t>
            </w:r>
          </w:p>
          <w:p w14:paraId="4858DBF1" w14:textId="77777777" w:rsidR="00610D37" w:rsidRDefault="00000000" w:rsidP="00610D37">
            <w:pPr>
              <w:rPr>
                <w:lang w:val="pt-PT"/>
              </w:rPr>
            </w:pPr>
            <w:hyperlink r:id="rId16" w:history="1">
              <w:r w:rsidR="00610D37" w:rsidRPr="0023279F">
                <w:rPr>
                  <w:rStyle w:val="Hyperlink"/>
                  <w:lang w:val="pt-PT"/>
                </w:rPr>
                <w:t>m.lown@soton.ac.uk</w:t>
              </w:r>
            </w:hyperlink>
          </w:p>
          <w:p w14:paraId="6E19462D" w14:textId="3C58EA3B" w:rsidR="00610D37" w:rsidRDefault="00610D37" w:rsidP="00610D37">
            <w:pPr>
              <w:rPr>
                <w:lang w:val="pt-PT"/>
              </w:rPr>
            </w:pPr>
          </w:p>
        </w:tc>
        <w:tc>
          <w:tcPr>
            <w:tcW w:w="1598" w:type="dxa"/>
          </w:tcPr>
          <w:p w14:paraId="5AA623EF" w14:textId="3C59E18D" w:rsidR="00610D37" w:rsidRPr="00526398" w:rsidRDefault="00000000" w:rsidP="00610D37">
            <w:pPr>
              <w:rPr>
                <w:b/>
                <w:bCs/>
              </w:rPr>
            </w:pPr>
            <w:hyperlink r:id="rId17" w:history="1">
              <w:r w:rsidR="00610D37" w:rsidRPr="001F2DAE">
                <w:rPr>
                  <w:rStyle w:val="Hyperlink"/>
                  <w:b/>
                  <w:bCs/>
                </w:rPr>
                <w:t>Phased-In</w:t>
              </w:r>
            </w:hyperlink>
          </w:p>
        </w:tc>
        <w:tc>
          <w:tcPr>
            <w:tcW w:w="5600" w:type="dxa"/>
          </w:tcPr>
          <w:p w14:paraId="32BD5DC5" w14:textId="0FC5A7A7" w:rsidR="00610D37" w:rsidRDefault="00610D37" w:rsidP="00610D37">
            <w:pPr>
              <w:rPr>
                <w:bCs/>
              </w:rPr>
            </w:pPr>
            <w:r>
              <w:t>An NIHR funded feasibility study of a decision aids intervention and point of care tests for common infections in pharmacies</w:t>
            </w:r>
          </w:p>
        </w:tc>
      </w:tr>
      <w:tr w:rsidR="00610D37" w:rsidRPr="006620BB" w14:paraId="18E5FD53" w14:textId="77777777" w:rsidTr="004B0DE2">
        <w:tc>
          <w:tcPr>
            <w:tcW w:w="2578" w:type="dxa"/>
          </w:tcPr>
          <w:p w14:paraId="2CBD72B5" w14:textId="77777777" w:rsidR="00610D37" w:rsidRDefault="00610D37" w:rsidP="00610D37">
            <w:pPr>
              <w:rPr>
                <w:lang w:val="pt-PT"/>
              </w:rPr>
            </w:pPr>
            <w:r>
              <w:rPr>
                <w:lang w:val="pt-PT"/>
              </w:rPr>
              <w:t xml:space="preserve">Mark Lown </w:t>
            </w:r>
          </w:p>
          <w:p w14:paraId="7AE656B4" w14:textId="77777777" w:rsidR="00610D37" w:rsidRDefault="00000000" w:rsidP="00610D37">
            <w:pPr>
              <w:rPr>
                <w:lang w:val="pt-PT"/>
              </w:rPr>
            </w:pPr>
            <w:hyperlink r:id="rId18" w:history="1">
              <w:r w:rsidR="00610D37" w:rsidRPr="0023279F">
                <w:rPr>
                  <w:rStyle w:val="Hyperlink"/>
                  <w:lang w:val="pt-PT"/>
                </w:rPr>
                <w:t>m.lown@soton.ac.uk</w:t>
              </w:r>
            </w:hyperlink>
          </w:p>
          <w:p w14:paraId="733BC889" w14:textId="77777777" w:rsidR="00610D37" w:rsidRPr="00A85AD2" w:rsidRDefault="00610D37" w:rsidP="00610D37">
            <w:pPr>
              <w:rPr>
                <w:lang w:val="pt-PT"/>
              </w:rPr>
            </w:pPr>
          </w:p>
        </w:tc>
        <w:tc>
          <w:tcPr>
            <w:tcW w:w="1598" w:type="dxa"/>
          </w:tcPr>
          <w:p w14:paraId="57891AC4" w14:textId="71992622" w:rsidR="00610D37" w:rsidRDefault="00610D37" w:rsidP="00610D37">
            <w:r>
              <w:rPr>
                <w:b/>
                <w:bCs/>
              </w:rPr>
              <w:t>Afloat</w:t>
            </w:r>
          </w:p>
        </w:tc>
        <w:tc>
          <w:tcPr>
            <w:tcW w:w="5600" w:type="dxa"/>
          </w:tcPr>
          <w:p w14:paraId="41D4B9BA" w14:textId="1B58D22D" w:rsidR="00610D37" w:rsidRDefault="00610D37" w:rsidP="00610D37">
            <w:r>
              <w:t>An NIHR funded RCT of doxycycline vs placebo for older adults with uncomplicated LRTI</w:t>
            </w:r>
          </w:p>
        </w:tc>
      </w:tr>
      <w:tr w:rsidR="00610D37" w:rsidRPr="006620BB" w14:paraId="572EB69C" w14:textId="77777777" w:rsidTr="004B0DE2">
        <w:tc>
          <w:tcPr>
            <w:tcW w:w="2578" w:type="dxa"/>
          </w:tcPr>
          <w:p w14:paraId="5F908E2B" w14:textId="77777777" w:rsidR="00610D37" w:rsidRDefault="00610D37" w:rsidP="00610D37">
            <w:pPr>
              <w:rPr>
                <w:lang w:val="pt-PT"/>
              </w:rPr>
            </w:pPr>
            <w:r>
              <w:rPr>
                <w:lang w:val="pt-PT"/>
              </w:rPr>
              <w:t>Merlin Willcox</w:t>
            </w:r>
          </w:p>
          <w:p w14:paraId="2E2807B3" w14:textId="47AAEE7F" w:rsidR="00610D37" w:rsidRPr="00A85AD2" w:rsidRDefault="00000000" w:rsidP="00610D37">
            <w:pPr>
              <w:rPr>
                <w:lang w:val="pt-PT"/>
              </w:rPr>
            </w:pPr>
            <w:hyperlink r:id="rId19" w:history="1">
              <w:r w:rsidR="00610D37" w:rsidRPr="002942D0">
                <w:rPr>
                  <w:rStyle w:val="Hyperlink"/>
                  <w:lang w:val="pt-PT"/>
                </w:rPr>
                <w:t>M.L.Willcox@soton.ac.uk</w:t>
              </w:r>
            </w:hyperlink>
            <w:r w:rsidR="00610D37">
              <w:rPr>
                <w:lang w:val="pt-PT"/>
              </w:rPr>
              <w:t xml:space="preserve"> </w:t>
            </w:r>
          </w:p>
        </w:tc>
        <w:tc>
          <w:tcPr>
            <w:tcW w:w="1598" w:type="dxa"/>
          </w:tcPr>
          <w:p w14:paraId="50BC2DFA" w14:textId="26458143" w:rsidR="00610D37" w:rsidRDefault="00610D37" w:rsidP="00610D37">
            <w:r>
              <w:rPr>
                <w:b/>
                <w:bCs/>
              </w:rPr>
              <w:t>UPPEUS-Q</w:t>
            </w:r>
          </w:p>
        </w:tc>
        <w:tc>
          <w:tcPr>
            <w:tcW w:w="5600" w:type="dxa"/>
          </w:tcPr>
          <w:p w14:paraId="5E3CA264" w14:textId="537CADC6" w:rsidR="00610D37" w:rsidRDefault="00610D37" w:rsidP="00610D37">
            <w:r w:rsidRPr="0008702E">
              <w:t>Understanding Patient/ Practitioner Experience in having Ureteric Stents – Qualitative Study</w:t>
            </w:r>
            <w:r>
              <w:t xml:space="preserve"> – involvement in collection and analysis of qualitative data.</w:t>
            </w:r>
          </w:p>
        </w:tc>
      </w:tr>
      <w:tr w:rsidR="00610D37" w:rsidRPr="006620BB" w14:paraId="44AA40E7" w14:textId="77777777" w:rsidTr="004B0DE2">
        <w:tc>
          <w:tcPr>
            <w:tcW w:w="2578" w:type="dxa"/>
          </w:tcPr>
          <w:p w14:paraId="56C8562F" w14:textId="77777777" w:rsidR="00610D37" w:rsidRDefault="00610D37" w:rsidP="00610D37">
            <w:pPr>
              <w:rPr>
                <w:lang w:val="pt-PT"/>
              </w:rPr>
            </w:pPr>
            <w:r>
              <w:rPr>
                <w:lang w:val="pt-PT"/>
              </w:rPr>
              <w:t>Merlin Willcox</w:t>
            </w:r>
          </w:p>
          <w:p w14:paraId="34C0FBA6" w14:textId="5E9F3C3D" w:rsidR="00610D37" w:rsidRPr="00A85AD2" w:rsidRDefault="00000000" w:rsidP="00610D37">
            <w:pPr>
              <w:rPr>
                <w:lang w:val="pt-PT"/>
              </w:rPr>
            </w:pPr>
            <w:hyperlink r:id="rId20" w:history="1">
              <w:r w:rsidR="00610D37" w:rsidRPr="002942D0">
                <w:rPr>
                  <w:rStyle w:val="Hyperlink"/>
                  <w:lang w:val="pt-PT"/>
                </w:rPr>
                <w:t>M.L.Willcox@soton.ac.uk</w:t>
              </w:r>
            </w:hyperlink>
          </w:p>
        </w:tc>
        <w:tc>
          <w:tcPr>
            <w:tcW w:w="1598" w:type="dxa"/>
          </w:tcPr>
          <w:p w14:paraId="6A82DEE0" w14:textId="02A01271" w:rsidR="00610D37" w:rsidRPr="004B0DE2" w:rsidRDefault="00000000" w:rsidP="00610D37">
            <w:pPr>
              <w:rPr>
                <w:b/>
                <w:bCs/>
                <w:lang w:val="pt-PT"/>
              </w:rPr>
            </w:pPr>
            <w:hyperlink r:id="rId21" w:history="1">
              <w:r w:rsidR="00610D37" w:rsidRPr="00E7532D">
                <w:rPr>
                  <w:rStyle w:val="Hyperlink"/>
                  <w:b/>
                  <w:bCs/>
                  <w:lang w:val="pt-PT"/>
                </w:rPr>
                <w:t>Blis</w:t>
              </w:r>
            </w:hyperlink>
          </w:p>
        </w:tc>
        <w:tc>
          <w:tcPr>
            <w:tcW w:w="5600" w:type="dxa"/>
          </w:tcPr>
          <w:p w14:paraId="39AD33D5" w14:textId="6D6D487E" w:rsidR="00610D37" w:rsidRDefault="00610D37" w:rsidP="00610D37">
            <w:r>
              <w:t>P</w:t>
            </w:r>
            <w:r w:rsidRPr="004B0DE2">
              <w:t>robiotic lozenges to prevent recurrent tonsillitis</w:t>
            </w:r>
          </w:p>
        </w:tc>
      </w:tr>
      <w:tr w:rsidR="00610D37" w:rsidRPr="006620BB" w14:paraId="33628238" w14:textId="77777777" w:rsidTr="004B0DE2">
        <w:tc>
          <w:tcPr>
            <w:tcW w:w="2578" w:type="dxa"/>
          </w:tcPr>
          <w:p w14:paraId="7047BC05" w14:textId="0D6677FC" w:rsidR="00610D37" w:rsidRDefault="00610D37" w:rsidP="00610D37">
            <w:pPr>
              <w:rPr>
                <w:lang w:val="pt-PT"/>
              </w:rPr>
            </w:pPr>
            <w:r w:rsidRPr="00A85AD2">
              <w:rPr>
                <w:lang w:val="pt-PT"/>
              </w:rPr>
              <w:t>Miriam Santer</w:t>
            </w:r>
          </w:p>
          <w:p w14:paraId="0B04FE3C" w14:textId="77777777" w:rsidR="00610D37" w:rsidRPr="00A124C2" w:rsidRDefault="00000000" w:rsidP="00610D37">
            <w:pPr>
              <w:rPr>
                <w:lang w:val="pt-PT"/>
              </w:rPr>
            </w:pPr>
            <w:hyperlink r:id="rId22" w:history="1">
              <w:r w:rsidR="00610D37" w:rsidRPr="00A85AD2">
                <w:rPr>
                  <w:rStyle w:val="Hyperlink"/>
                  <w:noProof/>
                  <w:lang w:val="pt-PT"/>
                </w:rPr>
                <w:t>M.Santer@soton.ac.uk</w:t>
              </w:r>
            </w:hyperlink>
            <w:r w:rsidR="00610D37" w:rsidRPr="00A85AD2">
              <w:rPr>
                <w:noProof/>
                <w:lang w:val="pt-PT"/>
              </w:rPr>
              <w:t xml:space="preserve">  </w:t>
            </w:r>
          </w:p>
        </w:tc>
        <w:tc>
          <w:tcPr>
            <w:tcW w:w="1598" w:type="dxa"/>
          </w:tcPr>
          <w:p w14:paraId="40405E65" w14:textId="15D8E2A2" w:rsidR="00610D37" w:rsidRPr="001F2DAE" w:rsidRDefault="001F2DAE" w:rsidP="00610D37">
            <w:pPr>
              <w:rPr>
                <w:rStyle w:val="Hyperlink"/>
                <w:b/>
                <w:bCs/>
              </w:rPr>
            </w:pPr>
            <w:r>
              <w:rPr>
                <w:b/>
                <w:bCs/>
              </w:rPr>
              <w:fldChar w:fldCharType="begin"/>
            </w:r>
            <w:r>
              <w:rPr>
                <w:b/>
                <w:bCs/>
              </w:rPr>
              <w:instrText>HYPERLINK "https://www.southampton.ac.uk/primarycare/acnecareonline.page"</w:instrText>
            </w:r>
            <w:r>
              <w:rPr>
                <w:b/>
                <w:bCs/>
              </w:rPr>
            </w:r>
            <w:r>
              <w:rPr>
                <w:b/>
                <w:bCs/>
              </w:rPr>
              <w:fldChar w:fldCharType="separate"/>
            </w:r>
            <w:r w:rsidR="00610D37" w:rsidRPr="001F2DAE">
              <w:rPr>
                <w:rStyle w:val="Hyperlink"/>
                <w:b/>
                <w:bCs/>
              </w:rPr>
              <w:t>Acne Care Online</w:t>
            </w:r>
          </w:p>
          <w:p w14:paraId="599A055C" w14:textId="4505B8FD" w:rsidR="00610D37" w:rsidRPr="006620BB" w:rsidRDefault="001F2DAE" w:rsidP="00610D37">
            <w:pPr>
              <w:rPr>
                <w:lang w:eastAsia="en-US"/>
              </w:rPr>
            </w:pPr>
            <w:r>
              <w:rPr>
                <w:b/>
                <w:bCs/>
              </w:rPr>
              <w:fldChar w:fldCharType="end"/>
            </w:r>
          </w:p>
        </w:tc>
        <w:tc>
          <w:tcPr>
            <w:tcW w:w="5600" w:type="dxa"/>
          </w:tcPr>
          <w:p w14:paraId="621AA616" w14:textId="314D60A9" w:rsidR="00610D37" w:rsidRPr="006620BB" w:rsidRDefault="00610D37" w:rsidP="00610D37">
            <w:pPr>
              <w:rPr>
                <w:lang w:eastAsia="en-US"/>
              </w:rPr>
            </w:pPr>
            <w:r>
              <w:rPr>
                <w:lang w:eastAsia="en-US"/>
              </w:rPr>
              <w:t>Qualitative interviews with health professionals and setting up a randomised trial.</w:t>
            </w:r>
          </w:p>
        </w:tc>
      </w:tr>
      <w:tr w:rsidR="00610D37" w:rsidRPr="006620BB" w14:paraId="4D31F114" w14:textId="77777777" w:rsidTr="004B0DE2">
        <w:tc>
          <w:tcPr>
            <w:tcW w:w="2578" w:type="dxa"/>
          </w:tcPr>
          <w:p w14:paraId="0E6455A3" w14:textId="77777777" w:rsidR="00610D37" w:rsidRDefault="00610D37" w:rsidP="00610D37">
            <w:pPr>
              <w:rPr>
                <w:lang w:val="pt-PT"/>
              </w:rPr>
            </w:pPr>
            <w:r w:rsidRPr="00A85AD2">
              <w:rPr>
                <w:lang w:val="pt-PT"/>
              </w:rPr>
              <w:t>Miriam Santer</w:t>
            </w:r>
          </w:p>
          <w:p w14:paraId="38D02F2E" w14:textId="3A3612B3" w:rsidR="00610D37" w:rsidRPr="00A85AD2" w:rsidRDefault="00000000" w:rsidP="00610D37">
            <w:pPr>
              <w:rPr>
                <w:lang w:val="pt-PT"/>
              </w:rPr>
            </w:pPr>
            <w:hyperlink r:id="rId23" w:history="1">
              <w:r w:rsidR="00610D37" w:rsidRPr="00A85AD2">
                <w:rPr>
                  <w:rStyle w:val="Hyperlink"/>
                  <w:noProof/>
                  <w:lang w:val="pt-PT"/>
                </w:rPr>
                <w:t>M.Santer@soton.ac.uk</w:t>
              </w:r>
            </w:hyperlink>
            <w:r w:rsidR="00610D37" w:rsidRPr="00A85AD2">
              <w:rPr>
                <w:noProof/>
                <w:lang w:val="pt-PT"/>
              </w:rPr>
              <w:t xml:space="preserve">  </w:t>
            </w:r>
          </w:p>
        </w:tc>
        <w:tc>
          <w:tcPr>
            <w:tcW w:w="1598" w:type="dxa"/>
          </w:tcPr>
          <w:p w14:paraId="25AECF27" w14:textId="50252388" w:rsidR="00610D37" w:rsidRPr="001F2DAE" w:rsidRDefault="00610D37" w:rsidP="00610D37">
            <w:pPr>
              <w:rPr>
                <w:b/>
                <w:bCs/>
              </w:rPr>
            </w:pPr>
            <w:r w:rsidRPr="001F2DAE">
              <w:rPr>
                <w:b/>
                <w:bCs/>
              </w:rPr>
              <w:t>Recurrent UTI</w:t>
            </w:r>
          </w:p>
        </w:tc>
        <w:tc>
          <w:tcPr>
            <w:tcW w:w="5600" w:type="dxa"/>
          </w:tcPr>
          <w:p w14:paraId="3E4DE409" w14:textId="45E09E14" w:rsidR="00610D37" w:rsidRDefault="00610D37" w:rsidP="00610D37">
            <w:r>
              <w:t>Scoping of available online resource materials for patients</w:t>
            </w:r>
          </w:p>
        </w:tc>
      </w:tr>
      <w:tr w:rsidR="00610D37" w:rsidRPr="006620BB" w14:paraId="2D46E860" w14:textId="77777777" w:rsidTr="004B0DE2">
        <w:tc>
          <w:tcPr>
            <w:tcW w:w="2578" w:type="dxa"/>
          </w:tcPr>
          <w:p w14:paraId="02C535B6" w14:textId="77777777" w:rsidR="00610D37" w:rsidRDefault="00610D37" w:rsidP="00610D37">
            <w:pPr>
              <w:rPr>
                <w:lang w:val="pt-PT"/>
              </w:rPr>
            </w:pPr>
            <w:r>
              <w:rPr>
                <w:lang w:val="pt-PT"/>
              </w:rPr>
              <w:t>Kay Wang</w:t>
            </w:r>
          </w:p>
          <w:p w14:paraId="6AC8E046" w14:textId="684796FC" w:rsidR="00610D37" w:rsidRDefault="00000000" w:rsidP="00610D37">
            <w:pPr>
              <w:rPr>
                <w:lang w:val="pt-PT"/>
              </w:rPr>
            </w:pPr>
            <w:hyperlink r:id="rId24" w:history="1">
              <w:r w:rsidR="00610D37" w:rsidRPr="00620C9F">
                <w:rPr>
                  <w:rStyle w:val="Hyperlink"/>
                  <w:lang w:val="pt-PT"/>
                </w:rPr>
                <w:t>kay.wang@soton.ac.uk</w:t>
              </w:r>
            </w:hyperlink>
          </w:p>
          <w:p w14:paraId="4E602D28" w14:textId="62AA4801" w:rsidR="00610D37" w:rsidRPr="00A85AD2" w:rsidRDefault="00610D37" w:rsidP="00610D37">
            <w:pPr>
              <w:rPr>
                <w:lang w:val="pt-PT"/>
              </w:rPr>
            </w:pPr>
          </w:p>
        </w:tc>
        <w:tc>
          <w:tcPr>
            <w:tcW w:w="1598" w:type="dxa"/>
          </w:tcPr>
          <w:p w14:paraId="5AB12AA0" w14:textId="399933BF" w:rsidR="00610D37" w:rsidRPr="00A124C2" w:rsidRDefault="00610D37" w:rsidP="00610D37">
            <w:pPr>
              <w:rPr>
                <w:b/>
                <w:bCs/>
              </w:rPr>
            </w:pPr>
            <w:r>
              <w:rPr>
                <w:b/>
                <w:bCs/>
              </w:rPr>
              <w:t>DEFINE</w:t>
            </w:r>
          </w:p>
        </w:tc>
        <w:tc>
          <w:tcPr>
            <w:tcW w:w="5600" w:type="dxa"/>
          </w:tcPr>
          <w:p w14:paraId="64AF1F0B" w14:textId="4562E7A6" w:rsidR="00610D37" w:rsidRPr="0000172E" w:rsidRDefault="00610D37" w:rsidP="00610D37">
            <w:pPr>
              <w:pStyle w:val="ListParagraph"/>
              <w:ind w:left="360"/>
            </w:pPr>
            <w:r>
              <w:t xml:space="preserve">This is a programme of research to develop and evaluate an online </w:t>
            </w:r>
            <w:proofErr w:type="spellStart"/>
            <w:r>
              <w:t>FeNO</w:t>
            </w:r>
            <w:proofErr w:type="spellEnd"/>
            <w:r>
              <w:t>-guided asthma management intervention in primary care.  We have recently finished recruitment for a large randomised controlled trial comparing our intervention with usual care.  There will be opportunities to assist with follow-up data collection and interpretation, and learn about statistical analysis and reporting of trial findings.</w:t>
            </w:r>
          </w:p>
        </w:tc>
      </w:tr>
      <w:tr w:rsidR="00610D37" w:rsidRPr="004B0DE2" w14:paraId="76C46D17" w14:textId="77777777" w:rsidTr="004B0DE2">
        <w:tc>
          <w:tcPr>
            <w:tcW w:w="2578" w:type="dxa"/>
          </w:tcPr>
          <w:p w14:paraId="1BF62C00" w14:textId="77777777" w:rsidR="00610D37" w:rsidRDefault="00610D37" w:rsidP="00610D37">
            <w:pPr>
              <w:rPr>
                <w:lang w:val="pt-PT"/>
              </w:rPr>
            </w:pPr>
            <w:r w:rsidRPr="004B0DE2">
              <w:rPr>
                <w:lang w:val="pt-PT"/>
              </w:rPr>
              <w:t>Hajira Dambha-Miller</w:t>
            </w:r>
          </w:p>
          <w:p w14:paraId="13812F5E" w14:textId="02C9392B" w:rsidR="00610D37" w:rsidRPr="00A85AD2" w:rsidRDefault="00000000" w:rsidP="00E7532D">
            <w:pPr>
              <w:rPr>
                <w:lang w:val="pt-PT"/>
              </w:rPr>
            </w:pPr>
            <w:hyperlink r:id="rId25" w:history="1">
              <w:r w:rsidR="00610D37" w:rsidRPr="00620C9F">
                <w:rPr>
                  <w:rStyle w:val="Hyperlink"/>
                  <w:lang w:val="pt-PT"/>
                </w:rPr>
                <w:t>h.dambha-miller@soton.ac.uk</w:t>
              </w:r>
            </w:hyperlink>
          </w:p>
        </w:tc>
        <w:tc>
          <w:tcPr>
            <w:tcW w:w="1598" w:type="dxa"/>
          </w:tcPr>
          <w:p w14:paraId="5E02F559" w14:textId="0580B1D6" w:rsidR="00610D37" w:rsidRPr="004B0DE2" w:rsidRDefault="00610D37" w:rsidP="00610D37">
            <w:pPr>
              <w:rPr>
                <w:b/>
                <w:bCs/>
                <w:lang w:val="pt-PT"/>
              </w:rPr>
            </w:pPr>
            <w:r>
              <w:rPr>
                <w:b/>
                <w:bCs/>
                <w:lang w:val="pt-PT"/>
              </w:rPr>
              <w:t>Cluster-AIM</w:t>
            </w:r>
          </w:p>
        </w:tc>
        <w:tc>
          <w:tcPr>
            <w:tcW w:w="5600" w:type="dxa"/>
          </w:tcPr>
          <w:p w14:paraId="010CA14D" w14:textId="5C94B0C8" w:rsidR="00610D37" w:rsidRPr="004B0DE2" w:rsidRDefault="00610D37" w:rsidP="00610D37">
            <w:pPr>
              <w:rPr>
                <w:lang w:val="pt-PT"/>
              </w:rPr>
            </w:pPr>
            <w:r w:rsidRPr="004B0DE2">
              <w:rPr>
                <w:lang w:val="pt-PT"/>
              </w:rPr>
              <w:t>NIHR funded project using artificial intelligence and big data to identify clusters of disease in people with multimorbidity</w:t>
            </w:r>
            <w:r>
              <w:rPr>
                <w:lang w:val="pt-PT"/>
              </w:rPr>
              <w:t>.</w:t>
            </w:r>
          </w:p>
          <w:p w14:paraId="00D7EDA4" w14:textId="5E16978C" w:rsidR="00610D37" w:rsidRPr="004B0DE2" w:rsidRDefault="00610D37" w:rsidP="00610D37">
            <w:pPr>
              <w:rPr>
                <w:lang w:val="pt-PT" w:eastAsia="en-US"/>
              </w:rPr>
            </w:pPr>
          </w:p>
        </w:tc>
      </w:tr>
      <w:tr w:rsidR="00610D37" w:rsidRPr="004B0DE2" w14:paraId="7EA2EA8C" w14:textId="77777777" w:rsidTr="004B0DE2">
        <w:tc>
          <w:tcPr>
            <w:tcW w:w="2578" w:type="dxa"/>
          </w:tcPr>
          <w:p w14:paraId="61738986" w14:textId="77777777" w:rsidR="00610D37" w:rsidRDefault="00610D37" w:rsidP="00610D37">
            <w:pPr>
              <w:rPr>
                <w:lang w:val="pt-PT"/>
              </w:rPr>
            </w:pPr>
            <w:bookmarkStart w:id="1" w:name="_Hlk170813747"/>
            <w:r>
              <w:rPr>
                <w:lang w:val="pt-PT"/>
              </w:rPr>
              <w:t>Leanne Morrison</w:t>
            </w:r>
          </w:p>
          <w:p w14:paraId="1C5E4A75" w14:textId="286FB11F" w:rsidR="00610D37" w:rsidRDefault="00000000" w:rsidP="00610D37">
            <w:pPr>
              <w:rPr>
                <w:lang w:val="pt-PT"/>
              </w:rPr>
            </w:pPr>
            <w:hyperlink r:id="rId26" w:history="1">
              <w:r w:rsidR="00610D37" w:rsidRPr="00CA6739">
                <w:rPr>
                  <w:rStyle w:val="Hyperlink"/>
                  <w:lang w:val="pt-PT"/>
                </w:rPr>
                <w:t>L.Morrison@soton.ac.uk</w:t>
              </w:r>
            </w:hyperlink>
            <w:r w:rsidR="00610D37">
              <w:rPr>
                <w:lang w:val="pt-PT"/>
              </w:rPr>
              <w:t xml:space="preserve"> </w:t>
            </w:r>
          </w:p>
        </w:tc>
        <w:tc>
          <w:tcPr>
            <w:tcW w:w="1598" w:type="dxa"/>
          </w:tcPr>
          <w:p w14:paraId="685B2E03" w14:textId="5FEACB20" w:rsidR="00610D37" w:rsidRPr="004B0DE2" w:rsidRDefault="00610D37" w:rsidP="00610D37">
            <w:pPr>
              <w:rPr>
                <w:lang w:val="pt-PT"/>
              </w:rPr>
            </w:pPr>
            <w:r>
              <w:rPr>
                <w:b/>
                <w:bCs/>
              </w:rPr>
              <w:t xml:space="preserve">Health and social care need in multimorbidity </w:t>
            </w:r>
          </w:p>
        </w:tc>
        <w:tc>
          <w:tcPr>
            <w:tcW w:w="5600" w:type="dxa"/>
          </w:tcPr>
          <w:p w14:paraId="0D011C2F" w14:textId="7CA2CFD4" w:rsidR="00610D37" w:rsidRPr="004B0DE2" w:rsidRDefault="00610D37" w:rsidP="00E7532D">
            <w:pPr>
              <w:rPr>
                <w:lang w:val="pt-PT"/>
              </w:rPr>
            </w:pPr>
            <w:r>
              <w:t>This project aims to develop and test a brief intervention enabling practitioners to use a multimorbidity social care need profile and address trajectories toward increasing social care need. This will involve a behavioural analysis to map psychosocial and behavioural factors likely to influence use of the intervention, and qualitative interviews/community engagement to examine engagement with prototype intervention components.</w:t>
            </w:r>
          </w:p>
        </w:tc>
      </w:tr>
      <w:tr w:rsidR="00610D37" w:rsidRPr="004B0DE2" w14:paraId="6C4EB03B" w14:textId="77777777" w:rsidTr="004B0DE2">
        <w:tc>
          <w:tcPr>
            <w:tcW w:w="2578" w:type="dxa"/>
          </w:tcPr>
          <w:p w14:paraId="75D4414A" w14:textId="77777777" w:rsidR="00610D37" w:rsidRPr="004B0DE2" w:rsidRDefault="00610D37" w:rsidP="00610D37">
            <w:pPr>
              <w:rPr>
                <w:lang w:val="pt-PT"/>
              </w:rPr>
            </w:pPr>
            <w:r w:rsidRPr="004B0DE2">
              <w:rPr>
                <w:lang w:val="pt-PT"/>
              </w:rPr>
              <w:t>Kate Greenwell</w:t>
            </w:r>
          </w:p>
          <w:p w14:paraId="6B9B1FCD" w14:textId="77777777" w:rsidR="00610D37" w:rsidRDefault="00000000" w:rsidP="00610D37">
            <w:pPr>
              <w:rPr>
                <w:lang w:val="pt-PT"/>
              </w:rPr>
            </w:pPr>
            <w:hyperlink r:id="rId27" w:history="1">
              <w:r w:rsidR="00610D37" w:rsidRPr="004B0DE2">
                <w:rPr>
                  <w:rStyle w:val="Hyperlink"/>
                  <w:lang w:val="pt-PT"/>
                </w:rPr>
                <w:t>K.Greenwell@soton.ac.uk</w:t>
              </w:r>
            </w:hyperlink>
            <w:r w:rsidR="00610D37" w:rsidRPr="004B0DE2">
              <w:rPr>
                <w:lang w:val="pt-PT"/>
              </w:rPr>
              <w:t xml:space="preserve"> </w:t>
            </w:r>
          </w:p>
          <w:p w14:paraId="20EB5DB3" w14:textId="77777777" w:rsidR="00610D37" w:rsidRDefault="00610D37" w:rsidP="00610D37">
            <w:pPr>
              <w:rPr>
                <w:lang w:val="pt-PT"/>
              </w:rPr>
            </w:pPr>
          </w:p>
          <w:p w14:paraId="0BDF00AA" w14:textId="727C2D86" w:rsidR="00610D37" w:rsidRDefault="00610D37" w:rsidP="00610D37">
            <w:pPr>
              <w:rPr>
                <w:lang w:val="pt-PT"/>
              </w:rPr>
            </w:pPr>
            <w:r>
              <w:rPr>
                <w:lang w:val="pt-PT"/>
              </w:rPr>
              <w:t>Ali Roswell</w:t>
            </w:r>
          </w:p>
          <w:p w14:paraId="70EFFD51" w14:textId="0D0BF47A" w:rsidR="00610D37" w:rsidRPr="004B0DE2" w:rsidRDefault="00000000" w:rsidP="00E7532D">
            <w:pPr>
              <w:rPr>
                <w:lang w:val="pt-PT"/>
              </w:rPr>
            </w:pPr>
            <w:hyperlink r:id="rId28" w:history="1">
              <w:r w:rsidR="00610D37" w:rsidRPr="00620C9F">
                <w:rPr>
                  <w:rStyle w:val="Hyperlink"/>
                  <w:lang w:val="pt-PT"/>
                </w:rPr>
                <w:t>a.c.rowsell@soton.ac.uk</w:t>
              </w:r>
            </w:hyperlink>
          </w:p>
        </w:tc>
        <w:tc>
          <w:tcPr>
            <w:tcW w:w="1598" w:type="dxa"/>
          </w:tcPr>
          <w:p w14:paraId="41D605CF" w14:textId="3AED3830" w:rsidR="00610D37" w:rsidRPr="00EA4344" w:rsidRDefault="00610D37" w:rsidP="00610D37">
            <w:pPr>
              <w:rPr>
                <w:rFonts w:cstheme="minorHAnsi"/>
                <w:b/>
                <w:bCs/>
              </w:rPr>
            </w:pPr>
            <w:r w:rsidRPr="00EA4344">
              <w:rPr>
                <w:rStyle w:val="normaltextrun"/>
                <w:rFonts w:cstheme="minorHAnsi"/>
                <w:b/>
                <w:bCs/>
                <w:color w:val="000000"/>
                <w:shd w:val="clear" w:color="auto" w:fill="FFFFFF"/>
              </w:rPr>
              <w:t>Couples’ experiences of low back pain</w:t>
            </w:r>
          </w:p>
        </w:tc>
        <w:tc>
          <w:tcPr>
            <w:tcW w:w="5600" w:type="dxa"/>
          </w:tcPr>
          <w:p w14:paraId="4AA9B9EE" w14:textId="399160E1" w:rsidR="00610D37" w:rsidRPr="004B0DE2" w:rsidRDefault="00610D37" w:rsidP="00610D37">
            <w:r w:rsidRPr="004B0DE2">
              <w:t xml:space="preserve">This study will involve: (1) scoping review of couples-focused interventions for low back pain; and (2) a qualitative interview study with people with low back pain and their partners. </w:t>
            </w:r>
            <w:r w:rsidRPr="004B0DE2">
              <w:rPr>
                <w:lang w:eastAsia="en-US"/>
              </w:rPr>
              <w:t>You will join the study team and help with conducting the scoping review.</w:t>
            </w:r>
          </w:p>
        </w:tc>
      </w:tr>
      <w:tr w:rsidR="00610D37" w:rsidRPr="004B0DE2" w14:paraId="7744BBAA" w14:textId="77777777" w:rsidTr="004B0DE2">
        <w:tc>
          <w:tcPr>
            <w:tcW w:w="2578" w:type="dxa"/>
          </w:tcPr>
          <w:p w14:paraId="4C63FD82" w14:textId="122C14B6" w:rsidR="00610D37" w:rsidRDefault="00610D37" w:rsidP="00610D37">
            <w:pPr>
              <w:rPr>
                <w:lang w:val="pt-PT"/>
              </w:rPr>
            </w:pPr>
            <w:r>
              <w:rPr>
                <w:lang w:val="pt-PT"/>
              </w:rPr>
              <w:t>Helen Atherton</w:t>
            </w:r>
          </w:p>
          <w:p w14:paraId="2163CB64" w14:textId="6D9E71AF" w:rsidR="00610D37" w:rsidRDefault="00000000" w:rsidP="00610D37">
            <w:pPr>
              <w:rPr>
                <w:lang w:val="pt-PT"/>
              </w:rPr>
            </w:pPr>
            <w:hyperlink r:id="rId29" w:history="1">
              <w:r w:rsidR="00610D37" w:rsidRPr="00620C9F">
                <w:rPr>
                  <w:rStyle w:val="Hyperlink"/>
                  <w:lang w:val="pt-PT"/>
                </w:rPr>
                <w:t>h.atherton@soton.ac.uk</w:t>
              </w:r>
            </w:hyperlink>
          </w:p>
          <w:p w14:paraId="63632447" w14:textId="4EBD39EC" w:rsidR="00610D37" w:rsidRPr="004B0DE2" w:rsidRDefault="00610D37" w:rsidP="00610D37">
            <w:pPr>
              <w:rPr>
                <w:lang w:val="pt-PT"/>
              </w:rPr>
            </w:pPr>
          </w:p>
        </w:tc>
        <w:tc>
          <w:tcPr>
            <w:tcW w:w="1598" w:type="dxa"/>
          </w:tcPr>
          <w:p w14:paraId="6D73A483" w14:textId="417D3896" w:rsidR="00610D37" w:rsidRPr="00EA4344" w:rsidRDefault="00610D37" w:rsidP="00610D37">
            <w:pPr>
              <w:rPr>
                <w:rStyle w:val="normaltextrun"/>
                <w:rFonts w:cstheme="minorHAnsi"/>
                <w:b/>
                <w:bCs/>
                <w:color w:val="000000"/>
                <w:shd w:val="clear" w:color="auto" w:fill="FFFFFF"/>
              </w:rPr>
            </w:pPr>
            <w:r>
              <w:rPr>
                <w:b/>
                <w:bCs/>
              </w:rPr>
              <w:t xml:space="preserve">GP-SUS </w:t>
            </w:r>
          </w:p>
        </w:tc>
        <w:tc>
          <w:tcPr>
            <w:tcW w:w="5600" w:type="dxa"/>
          </w:tcPr>
          <w:p w14:paraId="087B24F0" w14:textId="7BF09DCB" w:rsidR="00610D37" w:rsidRPr="004B0DE2" w:rsidRDefault="00610D37" w:rsidP="00610D37">
            <w:r w:rsidRPr="00335207">
              <w:rPr>
                <w:rFonts w:cstheme="minorHAnsi"/>
              </w:rPr>
              <w:t>This study is about access to General Practice</w:t>
            </w:r>
            <w:r>
              <w:rPr>
                <w:rFonts w:cstheme="minorHAnsi"/>
              </w:rPr>
              <w:t xml:space="preserve"> and aims, using qualitative methods, </w:t>
            </w:r>
            <w:r w:rsidRPr="00335207">
              <w:rPr>
                <w:rFonts w:cstheme="minorHAnsi"/>
                <w:shd w:val="clear" w:color="auto" w:fill="FFFFFF"/>
              </w:rPr>
              <w:t>to describe and compare what happens, long term to general practices that have introduced innovations designed to improve access to appointments</w:t>
            </w:r>
            <w:r>
              <w:rPr>
                <w:rFonts w:cstheme="minorHAnsi"/>
                <w:shd w:val="clear" w:color="auto" w:fill="FFFFFF"/>
              </w:rPr>
              <w:t xml:space="preserve">. We are analysing data and preparing for dissemination. You could be involved in creating materials for disseminating the findings to lots of different audiences. There is also the opportunity to analyse qualitative data.  </w:t>
            </w:r>
          </w:p>
        </w:tc>
      </w:tr>
      <w:bookmarkEnd w:id="1"/>
    </w:tbl>
    <w:p w14:paraId="4A93EC93" w14:textId="77777777" w:rsidR="007A219A" w:rsidRPr="004B0DE2" w:rsidRDefault="007A219A" w:rsidP="00452386">
      <w:pPr>
        <w:jc w:val="center"/>
        <w:rPr>
          <w:rFonts w:cstheme="minorHAnsi"/>
          <w:b/>
          <w:bCs/>
          <w:sz w:val="28"/>
          <w:szCs w:val="28"/>
          <w:lang w:val="pt-PT"/>
        </w:rPr>
      </w:pPr>
    </w:p>
    <w:p w14:paraId="724072F3" w14:textId="1EAEAB7D" w:rsidR="00452386" w:rsidRPr="00E7532D" w:rsidRDefault="007A219A" w:rsidP="00E7532D">
      <w:pPr>
        <w:jc w:val="center"/>
        <w:rPr>
          <w:rFonts w:cstheme="minorHAnsi"/>
          <w:b/>
          <w:bCs/>
          <w:color w:val="44546A" w:themeColor="text2"/>
          <w:sz w:val="28"/>
          <w:szCs w:val="28"/>
        </w:rPr>
      </w:pPr>
      <w:r w:rsidRPr="00E7532D">
        <w:rPr>
          <w:rFonts w:cstheme="minorHAnsi"/>
          <w:b/>
          <w:bCs/>
          <w:color w:val="44546A" w:themeColor="text2"/>
          <w:sz w:val="28"/>
          <w:szCs w:val="28"/>
          <w:lang w:val="pt-PT"/>
        </w:rPr>
        <w:br w:type="page"/>
      </w:r>
      <w:r w:rsidR="00452386" w:rsidRPr="00E7532D">
        <w:rPr>
          <w:rFonts w:cstheme="minorHAnsi"/>
          <w:b/>
          <w:bCs/>
          <w:color w:val="44546A" w:themeColor="text2"/>
          <w:sz w:val="28"/>
          <w:szCs w:val="28"/>
        </w:rPr>
        <w:lastRenderedPageBreak/>
        <w:t>The</w:t>
      </w:r>
      <w:r w:rsidR="00452386" w:rsidRPr="00E7532D">
        <w:rPr>
          <w:rFonts w:cstheme="minorHAnsi"/>
          <w:b/>
          <w:bCs/>
          <w:color w:val="44546A" w:themeColor="text2"/>
          <w:spacing w:val="40"/>
          <w:sz w:val="28"/>
          <w:szCs w:val="28"/>
        </w:rPr>
        <w:t xml:space="preserve"> </w:t>
      </w:r>
      <w:r w:rsidR="00452386" w:rsidRPr="00E7532D">
        <w:rPr>
          <w:rFonts w:cstheme="minorHAnsi"/>
          <w:b/>
          <w:bCs/>
          <w:color w:val="44546A" w:themeColor="text2"/>
          <w:sz w:val="28"/>
          <w:szCs w:val="28"/>
        </w:rPr>
        <w:t>Southampton</w:t>
      </w:r>
      <w:r w:rsidR="00452386" w:rsidRPr="00E7532D">
        <w:rPr>
          <w:rFonts w:cstheme="minorHAnsi"/>
          <w:b/>
          <w:bCs/>
          <w:color w:val="44546A" w:themeColor="text2"/>
          <w:spacing w:val="41"/>
          <w:sz w:val="28"/>
          <w:szCs w:val="28"/>
        </w:rPr>
        <w:t xml:space="preserve"> </w:t>
      </w:r>
      <w:r w:rsidR="00452386" w:rsidRPr="00E7532D">
        <w:rPr>
          <w:rFonts w:cstheme="minorHAnsi"/>
          <w:b/>
          <w:bCs/>
          <w:color w:val="44546A" w:themeColor="text2"/>
          <w:sz w:val="28"/>
          <w:szCs w:val="28"/>
        </w:rPr>
        <w:t>Primary</w:t>
      </w:r>
      <w:r w:rsidR="00452386" w:rsidRPr="00E7532D">
        <w:rPr>
          <w:rFonts w:cstheme="minorHAnsi"/>
          <w:b/>
          <w:bCs/>
          <w:color w:val="44546A" w:themeColor="text2"/>
          <w:spacing w:val="39"/>
          <w:sz w:val="28"/>
          <w:szCs w:val="28"/>
        </w:rPr>
        <w:t xml:space="preserve"> </w:t>
      </w:r>
      <w:r w:rsidR="00452386" w:rsidRPr="00E7532D">
        <w:rPr>
          <w:rFonts w:cstheme="minorHAnsi"/>
          <w:b/>
          <w:bCs/>
          <w:color w:val="44546A" w:themeColor="text2"/>
          <w:sz w:val="28"/>
          <w:szCs w:val="28"/>
        </w:rPr>
        <w:t>Care</w:t>
      </w:r>
      <w:r w:rsidR="00452386" w:rsidRPr="00E7532D">
        <w:rPr>
          <w:rFonts w:cstheme="minorHAnsi"/>
          <w:b/>
          <w:bCs/>
          <w:color w:val="44546A" w:themeColor="text2"/>
          <w:spacing w:val="41"/>
          <w:sz w:val="28"/>
          <w:szCs w:val="28"/>
        </w:rPr>
        <w:t xml:space="preserve"> </w:t>
      </w:r>
      <w:r w:rsidR="00452386" w:rsidRPr="00E7532D">
        <w:rPr>
          <w:rFonts w:cstheme="minorHAnsi"/>
          <w:b/>
          <w:bCs/>
          <w:color w:val="44546A" w:themeColor="text2"/>
          <w:sz w:val="28"/>
          <w:szCs w:val="28"/>
        </w:rPr>
        <w:t>Research</w:t>
      </w:r>
      <w:r w:rsidR="00452386" w:rsidRPr="00E7532D">
        <w:rPr>
          <w:rFonts w:cstheme="minorHAnsi"/>
          <w:b/>
          <w:bCs/>
          <w:color w:val="44546A" w:themeColor="text2"/>
          <w:spacing w:val="39"/>
          <w:sz w:val="28"/>
          <w:szCs w:val="28"/>
        </w:rPr>
        <w:t xml:space="preserve"> </w:t>
      </w:r>
      <w:r w:rsidR="00452386" w:rsidRPr="00E7532D">
        <w:rPr>
          <w:rFonts w:cstheme="minorHAnsi"/>
          <w:b/>
          <w:bCs/>
          <w:color w:val="44546A" w:themeColor="text2"/>
          <w:sz w:val="28"/>
          <w:szCs w:val="28"/>
        </w:rPr>
        <w:t>Centre</w:t>
      </w:r>
      <w:r w:rsidR="00452386" w:rsidRPr="00E7532D">
        <w:rPr>
          <w:rFonts w:cstheme="minorHAnsi"/>
          <w:b/>
          <w:bCs/>
          <w:color w:val="44546A" w:themeColor="text2"/>
          <w:spacing w:val="38"/>
          <w:sz w:val="28"/>
          <w:szCs w:val="28"/>
        </w:rPr>
        <w:t xml:space="preserve"> </w:t>
      </w:r>
      <w:r w:rsidR="00452386" w:rsidRPr="00E7532D">
        <w:rPr>
          <w:rFonts w:cstheme="minorHAnsi"/>
          <w:b/>
          <w:bCs/>
          <w:color w:val="44546A" w:themeColor="text2"/>
          <w:sz w:val="28"/>
          <w:szCs w:val="28"/>
        </w:rPr>
        <w:t>(PCRC)</w:t>
      </w:r>
    </w:p>
    <w:p w14:paraId="294A3C28" w14:textId="49485EE9" w:rsidR="00452386" w:rsidRPr="00AC6E16" w:rsidRDefault="00452386" w:rsidP="004466B7">
      <w:pPr>
        <w:kinsoku w:val="0"/>
        <w:overflowPunct w:val="0"/>
        <w:autoSpaceDE w:val="0"/>
        <w:autoSpaceDN w:val="0"/>
        <w:adjustRightInd w:val="0"/>
        <w:spacing w:after="120" w:line="320" w:lineRule="atLeast"/>
        <w:rPr>
          <w:rFonts w:cstheme="minorHAnsi"/>
          <w:i/>
          <w:iCs/>
          <w:spacing w:val="3"/>
        </w:rPr>
      </w:pPr>
      <w:r w:rsidRPr="00563DBC">
        <w:rPr>
          <w:rFonts w:cstheme="minorHAnsi"/>
        </w:rPr>
        <w:t>PCRC is</w:t>
      </w:r>
      <w:r w:rsidRPr="00563DBC">
        <w:rPr>
          <w:rFonts w:cstheme="minorHAnsi"/>
          <w:spacing w:val="41"/>
        </w:rPr>
        <w:t xml:space="preserve"> </w:t>
      </w:r>
      <w:r w:rsidRPr="00563DBC">
        <w:rPr>
          <w:rFonts w:cstheme="minorHAnsi"/>
        </w:rPr>
        <w:t>one</w:t>
      </w:r>
      <w:r w:rsidRPr="00563DBC">
        <w:rPr>
          <w:rFonts w:cstheme="minorHAnsi"/>
          <w:spacing w:val="38"/>
        </w:rPr>
        <w:t xml:space="preserve"> </w:t>
      </w:r>
      <w:r w:rsidRPr="00563DBC">
        <w:rPr>
          <w:rFonts w:cstheme="minorHAnsi"/>
        </w:rPr>
        <w:t>of</w:t>
      </w:r>
      <w:r w:rsidRPr="00563DBC">
        <w:rPr>
          <w:rFonts w:cstheme="minorHAnsi"/>
          <w:spacing w:val="42"/>
        </w:rPr>
        <w:t xml:space="preserve"> </w:t>
      </w:r>
      <w:r w:rsidRPr="00563DBC">
        <w:rPr>
          <w:rFonts w:cstheme="minorHAnsi"/>
        </w:rPr>
        <w:t>the</w:t>
      </w:r>
      <w:r w:rsidRPr="00563DBC">
        <w:rPr>
          <w:rFonts w:cstheme="minorHAnsi"/>
          <w:spacing w:val="48"/>
        </w:rPr>
        <w:t xml:space="preserve"> </w:t>
      </w:r>
      <w:r w:rsidRPr="00563DBC">
        <w:rPr>
          <w:rFonts w:cstheme="minorHAnsi"/>
        </w:rPr>
        <w:t>world’s</w:t>
      </w:r>
      <w:r w:rsidRPr="00563DBC">
        <w:rPr>
          <w:rFonts w:cstheme="minorHAnsi"/>
          <w:spacing w:val="41"/>
        </w:rPr>
        <w:t xml:space="preserve"> </w:t>
      </w:r>
      <w:r w:rsidRPr="00563DBC">
        <w:rPr>
          <w:rFonts w:cstheme="minorHAnsi"/>
        </w:rPr>
        <w:t>leading primary</w:t>
      </w:r>
      <w:r w:rsidRPr="00563DBC">
        <w:rPr>
          <w:rFonts w:cstheme="minorHAnsi"/>
          <w:spacing w:val="35"/>
        </w:rPr>
        <w:t xml:space="preserve"> </w:t>
      </w:r>
      <w:r w:rsidRPr="00563DBC">
        <w:rPr>
          <w:rFonts w:cstheme="minorHAnsi"/>
        </w:rPr>
        <w:t>care</w:t>
      </w:r>
      <w:r w:rsidRPr="00563DBC">
        <w:rPr>
          <w:rFonts w:cstheme="minorHAnsi"/>
          <w:spacing w:val="38"/>
        </w:rPr>
        <w:t xml:space="preserve"> </w:t>
      </w:r>
      <w:r w:rsidRPr="00563DBC">
        <w:rPr>
          <w:rFonts w:cstheme="minorHAnsi"/>
        </w:rPr>
        <w:t>centres</w:t>
      </w:r>
      <w:r w:rsidRPr="00563DBC">
        <w:rPr>
          <w:rFonts w:cstheme="minorHAnsi"/>
          <w:spacing w:val="35"/>
        </w:rPr>
        <w:t xml:space="preserve"> </w:t>
      </w:r>
      <w:r w:rsidRPr="00563DBC">
        <w:rPr>
          <w:rFonts w:cstheme="minorHAnsi"/>
        </w:rPr>
        <w:t>of</w:t>
      </w:r>
      <w:r w:rsidRPr="00563DBC">
        <w:rPr>
          <w:rFonts w:cstheme="minorHAnsi"/>
          <w:spacing w:val="41"/>
        </w:rPr>
        <w:t xml:space="preserve"> </w:t>
      </w:r>
      <w:r w:rsidRPr="00797B09">
        <w:t>research</w:t>
      </w:r>
      <w:r>
        <w:rPr>
          <w:rFonts w:cstheme="minorHAnsi"/>
          <w:spacing w:val="41"/>
        </w:rPr>
        <w:t xml:space="preserve"> </w:t>
      </w:r>
      <w:r w:rsidRPr="00563DBC">
        <w:rPr>
          <w:rFonts w:cstheme="minorHAnsi"/>
        </w:rPr>
        <w:t>excellence,</w:t>
      </w:r>
      <w:r w:rsidRPr="00563DBC">
        <w:rPr>
          <w:rFonts w:cstheme="minorHAnsi"/>
          <w:spacing w:val="38"/>
        </w:rPr>
        <w:t xml:space="preserve"> </w:t>
      </w:r>
      <w:r w:rsidRPr="00563DBC">
        <w:rPr>
          <w:rFonts w:cstheme="minorHAnsi"/>
        </w:rPr>
        <w:t>offering</w:t>
      </w:r>
      <w:r w:rsidRPr="00563DBC">
        <w:rPr>
          <w:rFonts w:cstheme="minorHAnsi"/>
          <w:spacing w:val="37"/>
        </w:rPr>
        <w:t xml:space="preserve"> </w:t>
      </w:r>
      <w:r w:rsidRPr="00563DBC">
        <w:rPr>
          <w:rFonts w:cstheme="minorHAnsi"/>
        </w:rPr>
        <w:t>a</w:t>
      </w:r>
      <w:r>
        <w:rPr>
          <w:rFonts w:cstheme="minorHAnsi"/>
        </w:rPr>
        <w:t xml:space="preserve"> </w:t>
      </w:r>
      <w:r w:rsidRPr="00563DBC">
        <w:rPr>
          <w:rFonts w:cstheme="minorHAnsi"/>
        </w:rPr>
        <w:t>spectrum</w:t>
      </w:r>
      <w:r w:rsidRPr="00563DBC">
        <w:rPr>
          <w:rFonts w:cstheme="minorHAnsi"/>
          <w:spacing w:val="38"/>
        </w:rPr>
        <w:t xml:space="preserve"> </w:t>
      </w:r>
      <w:r w:rsidRPr="00563DBC">
        <w:rPr>
          <w:rFonts w:cstheme="minorHAnsi"/>
        </w:rPr>
        <w:t>of</w:t>
      </w:r>
      <w:r w:rsidRPr="00563DBC">
        <w:rPr>
          <w:rFonts w:cstheme="minorHAnsi"/>
          <w:spacing w:val="41"/>
        </w:rPr>
        <w:t xml:space="preserve"> </w:t>
      </w:r>
      <w:r w:rsidRPr="00563DBC">
        <w:rPr>
          <w:rFonts w:cstheme="minorHAnsi"/>
        </w:rPr>
        <w:t>expertise</w:t>
      </w:r>
      <w:r w:rsidRPr="00563DBC">
        <w:rPr>
          <w:rFonts w:cstheme="minorHAnsi"/>
          <w:spacing w:val="37"/>
        </w:rPr>
        <w:t xml:space="preserve"> </w:t>
      </w:r>
      <w:r w:rsidRPr="00563DBC">
        <w:rPr>
          <w:rFonts w:cstheme="minorHAnsi"/>
        </w:rPr>
        <w:t>in methodologies</w:t>
      </w:r>
      <w:r w:rsidRPr="00563DBC">
        <w:rPr>
          <w:rFonts w:cstheme="minorHAnsi"/>
          <w:spacing w:val="12"/>
        </w:rPr>
        <w:t xml:space="preserve"> </w:t>
      </w:r>
      <w:r w:rsidRPr="00563DBC">
        <w:rPr>
          <w:rFonts w:cstheme="minorHAnsi"/>
        </w:rPr>
        <w:t>and</w:t>
      </w:r>
      <w:r w:rsidRPr="00563DBC">
        <w:rPr>
          <w:rFonts w:cstheme="minorHAnsi"/>
          <w:spacing w:val="12"/>
        </w:rPr>
        <w:t xml:space="preserve"> </w:t>
      </w:r>
      <w:r w:rsidRPr="00563DBC">
        <w:rPr>
          <w:rFonts w:cstheme="minorHAnsi"/>
        </w:rPr>
        <w:t>a</w:t>
      </w:r>
      <w:r w:rsidRPr="00563DBC">
        <w:rPr>
          <w:rFonts w:cstheme="minorHAnsi"/>
          <w:spacing w:val="10"/>
        </w:rPr>
        <w:t xml:space="preserve"> </w:t>
      </w:r>
      <w:r>
        <w:rPr>
          <w:rFonts w:cstheme="minorHAnsi"/>
        </w:rPr>
        <w:t>broad</w:t>
      </w:r>
      <w:r w:rsidRPr="00563DBC">
        <w:rPr>
          <w:rFonts w:cstheme="minorHAnsi"/>
          <w:spacing w:val="10"/>
        </w:rPr>
        <w:t xml:space="preserve"> </w:t>
      </w:r>
      <w:r w:rsidRPr="00563DBC">
        <w:rPr>
          <w:rFonts w:cstheme="minorHAnsi"/>
        </w:rPr>
        <w:t>range</w:t>
      </w:r>
      <w:r w:rsidRPr="00563DBC">
        <w:rPr>
          <w:rFonts w:cstheme="minorHAnsi"/>
          <w:spacing w:val="12"/>
        </w:rPr>
        <w:t xml:space="preserve"> </w:t>
      </w:r>
      <w:r w:rsidRPr="00563DBC">
        <w:rPr>
          <w:rFonts w:cstheme="minorHAnsi"/>
        </w:rPr>
        <w:t>of</w:t>
      </w:r>
      <w:r w:rsidRPr="00563DBC">
        <w:rPr>
          <w:rFonts w:cstheme="minorHAnsi"/>
          <w:spacing w:val="11"/>
        </w:rPr>
        <w:t xml:space="preserve"> </w:t>
      </w:r>
      <w:r w:rsidRPr="00563DBC">
        <w:rPr>
          <w:rFonts w:cstheme="minorHAnsi"/>
        </w:rPr>
        <w:t>topic</w:t>
      </w:r>
      <w:r w:rsidRPr="00563DBC">
        <w:rPr>
          <w:rFonts w:cstheme="minorHAnsi"/>
          <w:spacing w:val="10"/>
        </w:rPr>
        <w:t xml:space="preserve"> </w:t>
      </w:r>
      <w:r w:rsidRPr="00563DBC">
        <w:rPr>
          <w:rFonts w:cstheme="minorHAnsi"/>
        </w:rPr>
        <w:t>areas.</w:t>
      </w:r>
      <w:r w:rsidRPr="00563DBC">
        <w:rPr>
          <w:rFonts w:cstheme="minorHAnsi"/>
          <w:spacing w:val="6"/>
        </w:rPr>
        <w:t xml:space="preserve"> </w:t>
      </w:r>
      <w:r w:rsidR="00FD21C2" w:rsidRPr="00AC6E16">
        <w:rPr>
          <w:rFonts w:cstheme="minorHAnsi"/>
          <w:spacing w:val="3"/>
        </w:rPr>
        <w:t>In the 2021 REF we achieved the highest rating in our unit of assessment for outputs with a Grade Point Average of 3.71 and 94% considered as 'internationally excellent' or 'world leading'.</w:t>
      </w:r>
    </w:p>
    <w:p w14:paraId="1FF28953" w14:textId="011CDDFB" w:rsidR="00452386" w:rsidRPr="00563DBC" w:rsidRDefault="00452386" w:rsidP="004466B7">
      <w:pPr>
        <w:kinsoku w:val="0"/>
        <w:overflowPunct w:val="0"/>
        <w:autoSpaceDE w:val="0"/>
        <w:autoSpaceDN w:val="0"/>
        <w:adjustRightInd w:val="0"/>
        <w:spacing w:after="120" w:line="320" w:lineRule="atLeast"/>
      </w:pPr>
      <w:r w:rsidRPr="00563DBC">
        <w:rPr>
          <w:rFonts w:eastAsia="Calibri" w:cstheme="minorHAnsi"/>
        </w:rPr>
        <w:t>PCRC is part of the School of Primary Care, Population Sciences and Medical Education</w:t>
      </w:r>
      <w:r w:rsidRPr="00563DBC">
        <w:rPr>
          <w:rFonts w:eastAsia="Calibri" w:cstheme="minorHAnsi"/>
          <w:spacing w:val="4"/>
        </w:rPr>
        <w:t xml:space="preserve"> </w:t>
      </w:r>
      <w:r w:rsidRPr="00563DBC">
        <w:rPr>
          <w:rFonts w:eastAsia="Calibri" w:cstheme="minorHAnsi"/>
        </w:rPr>
        <w:t>in</w:t>
      </w:r>
      <w:r>
        <w:rPr>
          <w:rFonts w:eastAsia="Calibri" w:cstheme="minorHAnsi"/>
        </w:rPr>
        <w:t xml:space="preserve"> </w:t>
      </w:r>
      <w:r w:rsidRPr="00563DBC">
        <w:rPr>
          <w:rFonts w:eastAsia="Calibri" w:cstheme="minorHAnsi"/>
        </w:rPr>
        <w:t>the Faculty</w:t>
      </w:r>
      <w:r w:rsidRPr="00563DBC">
        <w:rPr>
          <w:rFonts w:eastAsia="Calibri" w:cstheme="minorHAnsi"/>
          <w:spacing w:val="-2"/>
        </w:rPr>
        <w:t xml:space="preserve"> </w:t>
      </w:r>
      <w:r w:rsidRPr="00563DBC">
        <w:rPr>
          <w:rFonts w:eastAsia="Calibri" w:cstheme="minorHAnsi"/>
        </w:rPr>
        <w:t>of</w:t>
      </w:r>
      <w:r w:rsidRPr="00563DBC">
        <w:rPr>
          <w:rFonts w:eastAsia="Calibri" w:cstheme="minorHAnsi"/>
          <w:spacing w:val="2"/>
        </w:rPr>
        <w:t xml:space="preserve"> </w:t>
      </w:r>
      <w:r w:rsidRPr="00563DBC">
        <w:rPr>
          <w:rFonts w:eastAsia="Calibri" w:cstheme="minorHAnsi"/>
        </w:rPr>
        <w:t>Medicine</w:t>
      </w:r>
      <w:r>
        <w:rPr>
          <w:rFonts w:eastAsia="Calibri" w:cstheme="minorHAnsi"/>
        </w:rPr>
        <w:t xml:space="preserve"> at the University of Southampton</w:t>
      </w:r>
      <w:r w:rsidRPr="00563DBC">
        <w:rPr>
          <w:rFonts w:eastAsia="Calibri" w:cstheme="minorHAnsi"/>
        </w:rPr>
        <w:t>,</w:t>
      </w:r>
      <w:r w:rsidRPr="00563DBC">
        <w:rPr>
          <w:rFonts w:eastAsia="Calibri" w:cstheme="minorHAnsi"/>
          <w:spacing w:val="2"/>
        </w:rPr>
        <w:t xml:space="preserve"> </w:t>
      </w:r>
      <w:r w:rsidRPr="00563DBC">
        <w:rPr>
          <w:rFonts w:eastAsia="Calibri" w:cstheme="minorHAnsi"/>
        </w:rPr>
        <w:t>giving</w:t>
      </w:r>
      <w:r w:rsidRPr="00563DBC">
        <w:rPr>
          <w:rFonts w:eastAsia="Calibri" w:cstheme="minorHAnsi"/>
          <w:spacing w:val="2"/>
        </w:rPr>
        <w:t xml:space="preserve"> </w:t>
      </w:r>
      <w:r w:rsidRPr="00563DBC">
        <w:rPr>
          <w:rFonts w:eastAsia="Calibri" w:cstheme="minorHAnsi"/>
        </w:rPr>
        <w:t>us close links</w:t>
      </w:r>
      <w:r w:rsidRPr="00563DBC">
        <w:rPr>
          <w:rFonts w:eastAsia="Calibri" w:cstheme="minorHAnsi"/>
          <w:spacing w:val="-2"/>
        </w:rPr>
        <w:t xml:space="preserve"> </w:t>
      </w:r>
      <w:r w:rsidRPr="00563DBC">
        <w:rPr>
          <w:rFonts w:eastAsia="Calibri" w:cstheme="minorHAnsi"/>
        </w:rPr>
        <w:t>with Public</w:t>
      </w:r>
      <w:r w:rsidRPr="00563DBC">
        <w:rPr>
          <w:rFonts w:eastAsia="Calibri" w:cstheme="minorHAnsi"/>
          <w:spacing w:val="1"/>
        </w:rPr>
        <w:t xml:space="preserve"> </w:t>
      </w:r>
      <w:r w:rsidRPr="00563DBC">
        <w:rPr>
          <w:rFonts w:eastAsia="Calibri" w:cstheme="minorHAnsi"/>
        </w:rPr>
        <w:t>Health</w:t>
      </w:r>
      <w:r w:rsidR="002A78C2">
        <w:rPr>
          <w:rFonts w:eastAsia="Calibri" w:cstheme="minorHAnsi"/>
        </w:rPr>
        <w:t xml:space="preserve">, </w:t>
      </w:r>
      <w:r w:rsidRPr="00563DBC">
        <w:rPr>
          <w:rFonts w:eastAsia="Calibri" w:cstheme="minorHAnsi"/>
        </w:rPr>
        <w:t>Health</w:t>
      </w:r>
      <w:r w:rsidRPr="00563DBC">
        <w:rPr>
          <w:rFonts w:eastAsia="Calibri" w:cstheme="minorHAnsi"/>
          <w:spacing w:val="5"/>
        </w:rPr>
        <w:t xml:space="preserve"> </w:t>
      </w:r>
      <w:r w:rsidRPr="00563DBC">
        <w:rPr>
          <w:rFonts w:eastAsia="Calibri" w:cstheme="minorHAnsi"/>
        </w:rPr>
        <w:t>Psychology,</w:t>
      </w:r>
      <w:r w:rsidRPr="00563DBC">
        <w:rPr>
          <w:rFonts w:eastAsia="Calibri" w:cstheme="minorHAnsi"/>
          <w:spacing w:val="6"/>
        </w:rPr>
        <w:t xml:space="preserve"> </w:t>
      </w:r>
      <w:r w:rsidRPr="00563DBC">
        <w:rPr>
          <w:rFonts w:eastAsia="Calibri" w:cstheme="minorHAnsi"/>
        </w:rPr>
        <w:t>Southampton</w:t>
      </w:r>
      <w:r w:rsidRPr="00563DBC">
        <w:rPr>
          <w:rFonts w:eastAsia="Calibri" w:cstheme="minorHAnsi"/>
          <w:spacing w:val="5"/>
        </w:rPr>
        <w:t xml:space="preserve"> </w:t>
      </w:r>
      <w:r w:rsidRPr="00563DBC">
        <w:rPr>
          <w:rFonts w:eastAsia="Calibri" w:cstheme="minorHAnsi"/>
        </w:rPr>
        <w:t>NIHR Biomedical</w:t>
      </w:r>
      <w:r w:rsidRPr="00563DBC">
        <w:rPr>
          <w:rFonts w:eastAsia="Calibri" w:cstheme="minorHAnsi"/>
          <w:spacing w:val="27"/>
        </w:rPr>
        <w:t xml:space="preserve"> </w:t>
      </w:r>
      <w:r w:rsidRPr="00563DBC">
        <w:rPr>
          <w:rFonts w:eastAsia="Calibri" w:cstheme="minorHAnsi"/>
        </w:rPr>
        <w:t>Research</w:t>
      </w:r>
      <w:r w:rsidRPr="00563DBC">
        <w:rPr>
          <w:rFonts w:eastAsia="Calibri" w:cstheme="minorHAnsi"/>
          <w:spacing w:val="30"/>
        </w:rPr>
        <w:t xml:space="preserve"> </w:t>
      </w:r>
      <w:r w:rsidRPr="00563DBC">
        <w:rPr>
          <w:rFonts w:eastAsia="Calibri" w:cstheme="minorHAnsi"/>
        </w:rPr>
        <w:t>Centre</w:t>
      </w:r>
      <w:r w:rsidRPr="00563DBC">
        <w:rPr>
          <w:rFonts w:eastAsia="Calibri" w:cstheme="minorHAnsi"/>
          <w:spacing w:val="28"/>
        </w:rPr>
        <w:t xml:space="preserve"> </w:t>
      </w:r>
      <w:r w:rsidRPr="00563DBC">
        <w:rPr>
          <w:rFonts w:eastAsia="Calibri" w:cstheme="minorHAnsi"/>
        </w:rPr>
        <w:t>in</w:t>
      </w:r>
      <w:r w:rsidRPr="00563DBC">
        <w:rPr>
          <w:rFonts w:eastAsia="Calibri" w:cstheme="minorHAnsi"/>
          <w:spacing w:val="28"/>
        </w:rPr>
        <w:t xml:space="preserve"> </w:t>
      </w:r>
      <w:r w:rsidRPr="00563DBC">
        <w:rPr>
          <w:rFonts w:eastAsia="Calibri" w:cstheme="minorHAnsi"/>
        </w:rPr>
        <w:t>Nutrition</w:t>
      </w:r>
      <w:r w:rsidRPr="00563DBC">
        <w:rPr>
          <w:rFonts w:eastAsia="Calibri" w:cstheme="minorHAnsi"/>
          <w:spacing w:val="28"/>
        </w:rPr>
        <w:t xml:space="preserve"> </w:t>
      </w:r>
      <w:r w:rsidRPr="00563DBC">
        <w:rPr>
          <w:rFonts w:eastAsia="Calibri" w:cstheme="minorHAnsi"/>
        </w:rPr>
        <w:t>and</w:t>
      </w:r>
      <w:r w:rsidRPr="00563DBC">
        <w:rPr>
          <w:rFonts w:eastAsia="Calibri" w:cstheme="minorHAnsi"/>
          <w:spacing w:val="26"/>
        </w:rPr>
        <w:t xml:space="preserve"> </w:t>
      </w:r>
      <w:r w:rsidRPr="00563DBC">
        <w:rPr>
          <w:rFonts w:eastAsia="Calibri" w:cstheme="minorHAnsi"/>
        </w:rPr>
        <w:t>Respiratory</w:t>
      </w:r>
      <w:r w:rsidRPr="00563DBC">
        <w:rPr>
          <w:rFonts w:eastAsia="Calibri" w:cstheme="minorHAnsi"/>
          <w:spacing w:val="26"/>
        </w:rPr>
        <w:t xml:space="preserve"> </w:t>
      </w:r>
      <w:r w:rsidRPr="00563DBC">
        <w:rPr>
          <w:rFonts w:eastAsia="Calibri" w:cstheme="minorHAnsi"/>
        </w:rPr>
        <w:t>Medicine,</w:t>
      </w:r>
      <w:r w:rsidRPr="00563DBC">
        <w:rPr>
          <w:rFonts w:eastAsia="Calibri" w:cstheme="minorHAnsi"/>
          <w:spacing w:val="30"/>
        </w:rPr>
        <w:t xml:space="preserve"> </w:t>
      </w:r>
      <w:r w:rsidRPr="00563DBC">
        <w:rPr>
          <w:rFonts w:eastAsia="Calibri" w:cstheme="minorHAnsi"/>
        </w:rPr>
        <w:t>the</w:t>
      </w:r>
      <w:r w:rsidRPr="00563DBC">
        <w:rPr>
          <w:rFonts w:eastAsia="Calibri" w:cstheme="minorHAnsi"/>
          <w:spacing w:val="28"/>
        </w:rPr>
        <w:t xml:space="preserve"> </w:t>
      </w:r>
      <w:r w:rsidRPr="00563DBC">
        <w:rPr>
          <w:rFonts w:eastAsia="Calibri" w:cstheme="minorHAnsi"/>
        </w:rPr>
        <w:t>Faculty</w:t>
      </w:r>
      <w:r w:rsidRPr="00563DBC">
        <w:rPr>
          <w:rFonts w:eastAsia="Calibri" w:cstheme="minorHAnsi"/>
          <w:spacing w:val="26"/>
        </w:rPr>
        <w:t xml:space="preserve"> </w:t>
      </w:r>
      <w:r w:rsidRPr="00563DBC">
        <w:rPr>
          <w:rFonts w:eastAsia="Calibri" w:cstheme="minorHAnsi"/>
        </w:rPr>
        <w:t>of</w:t>
      </w:r>
      <w:r w:rsidRPr="00563DBC">
        <w:rPr>
          <w:rFonts w:eastAsia="Calibri" w:cstheme="minorHAnsi"/>
          <w:spacing w:val="32"/>
        </w:rPr>
        <w:t xml:space="preserve"> </w:t>
      </w:r>
      <w:r w:rsidRPr="00563DBC">
        <w:rPr>
          <w:rFonts w:eastAsia="Calibri" w:cstheme="minorHAnsi"/>
        </w:rPr>
        <w:t>Health Sciences,</w:t>
      </w:r>
      <w:r w:rsidRPr="00563DBC">
        <w:rPr>
          <w:rFonts w:eastAsia="Calibri" w:cstheme="minorHAnsi"/>
          <w:spacing w:val="32"/>
        </w:rPr>
        <w:t xml:space="preserve"> </w:t>
      </w:r>
      <w:r w:rsidRPr="00563DBC">
        <w:rPr>
          <w:rFonts w:eastAsia="Calibri" w:cstheme="minorHAnsi"/>
        </w:rPr>
        <w:t>Southampton</w:t>
      </w:r>
      <w:r w:rsidRPr="00563DBC">
        <w:rPr>
          <w:rFonts w:eastAsia="Calibri" w:cstheme="minorHAnsi"/>
          <w:spacing w:val="28"/>
        </w:rPr>
        <w:t xml:space="preserve"> </w:t>
      </w:r>
      <w:r w:rsidRPr="00563DBC">
        <w:rPr>
          <w:rFonts w:eastAsia="Calibri" w:cstheme="minorHAnsi"/>
        </w:rPr>
        <w:t>Statistical</w:t>
      </w:r>
      <w:r w:rsidRPr="00563DBC">
        <w:rPr>
          <w:rFonts w:eastAsia="Calibri" w:cstheme="minorHAnsi"/>
          <w:spacing w:val="30"/>
        </w:rPr>
        <w:t xml:space="preserve"> </w:t>
      </w:r>
      <w:r w:rsidRPr="00563DBC">
        <w:rPr>
          <w:rFonts w:eastAsia="Calibri" w:cstheme="minorHAnsi"/>
        </w:rPr>
        <w:t>Sciences</w:t>
      </w:r>
      <w:r w:rsidRPr="00563DBC">
        <w:rPr>
          <w:rFonts w:eastAsia="Calibri" w:cstheme="minorHAnsi"/>
          <w:spacing w:val="28"/>
        </w:rPr>
        <w:t xml:space="preserve"> </w:t>
      </w:r>
      <w:r w:rsidRPr="00563DBC">
        <w:rPr>
          <w:rFonts w:eastAsia="Calibri" w:cstheme="minorHAnsi"/>
        </w:rPr>
        <w:t>Research</w:t>
      </w:r>
      <w:r w:rsidRPr="00563DBC">
        <w:rPr>
          <w:rFonts w:eastAsia="Calibri" w:cstheme="minorHAnsi"/>
          <w:spacing w:val="28"/>
        </w:rPr>
        <w:t xml:space="preserve"> </w:t>
      </w:r>
      <w:r w:rsidRPr="00563DBC">
        <w:rPr>
          <w:rFonts w:eastAsia="Calibri" w:cstheme="minorHAnsi"/>
        </w:rPr>
        <w:t>Institute,</w:t>
      </w:r>
      <w:r w:rsidRPr="00563DBC">
        <w:rPr>
          <w:rFonts w:eastAsia="Calibri" w:cstheme="minorHAnsi"/>
          <w:spacing w:val="32"/>
        </w:rPr>
        <w:t xml:space="preserve"> </w:t>
      </w:r>
      <w:r w:rsidRPr="00563DBC">
        <w:rPr>
          <w:rFonts w:eastAsia="Calibri" w:cstheme="minorHAnsi"/>
        </w:rPr>
        <w:t>and</w:t>
      </w:r>
      <w:r w:rsidRPr="00563DBC">
        <w:rPr>
          <w:rFonts w:eastAsia="Calibri" w:cstheme="minorHAnsi"/>
          <w:spacing w:val="28"/>
        </w:rPr>
        <w:t xml:space="preserve"> </w:t>
      </w:r>
      <w:r w:rsidRPr="00563DBC">
        <w:rPr>
          <w:rFonts w:eastAsia="Calibri" w:cstheme="minorHAnsi"/>
        </w:rPr>
        <w:t>Computing</w:t>
      </w:r>
      <w:r w:rsidRPr="00563DBC">
        <w:rPr>
          <w:rFonts w:eastAsia="Calibri" w:cstheme="minorHAnsi"/>
          <w:spacing w:val="33"/>
        </w:rPr>
        <w:t xml:space="preserve"> </w:t>
      </w:r>
      <w:r w:rsidRPr="00563DBC">
        <w:rPr>
          <w:rFonts w:eastAsia="Calibri" w:cstheme="minorHAnsi"/>
        </w:rPr>
        <w:t>Sciences within</w:t>
      </w:r>
      <w:r w:rsidRPr="00563DBC">
        <w:rPr>
          <w:rFonts w:eastAsia="Calibri" w:cstheme="minorHAnsi"/>
          <w:spacing w:val="28"/>
        </w:rPr>
        <w:t xml:space="preserve"> </w:t>
      </w:r>
      <w:r w:rsidRPr="00563DBC">
        <w:rPr>
          <w:rFonts w:eastAsia="Calibri" w:cstheme="minorHAnsi"/>
        </w:rPr>
        <w:t>the</w:t>
      </w:r>
      <w:r w:rsidRPr="00563DBC">
        <w:rPr>
          <w:rFonts w:eastAsia="Calibri" w:cstheme="minorHAnsi"/>
          <w:spacing w:val="28"/>
        </w:rPr>
        <w:t xml:space="preserve"> </w:t>
      </w:r>
      <w:r w:rsidRPr="00563DBC">
        <w:rPr>
          <w:rFonts w:eastAsia="Calibri" w:cstheme="minorHAnsi"/>
        </w:rPr>
        <w:t>University.</w:t>
      </w:r>
      <w:r w:rsidRPr="00563DBC">
        <w:rPr>
          <w:rFonts w:eastAsia="Calibri" w:cstheme="minorHAnsi"/>
          <w:spacing w:val="30"/>
        </w:rPr>
        <w:t xml:space="preserve"> </w:t>
      </w:r>
    </w:p>
    <w:p w14:paraId="2E364F54" w14:textId="052171EC" w:rsidR="001056EB" w:rsidRPr="001056EB" w:rsidRDefault="00452386" w:rsidP="004466B7">
      <w:pPr>
        <w:kinsoku w:val="0"/>
        <w:overflowPunct w:val="0"/>
        <w:autoSpaceDE w:val="0"/>
        <w:autoSpaceDN w:val="0"/>
        <w:adjustRightInd w:val="0"/>
        <w:spacing w:after="120" w:line="320" w:lineRule="atLeast"/>
        <w:rPr>
          <w:rFonts w:cstheme="minorHAnsi"/>
        </w:rPr>
      </w:pPr>
      <w:r w:rsidRPr="00563DBC">
        <w:rPr>
          <w:rFonts w:cstheme="minorHAnsi"/>
        </w:rPr>
        <w:t>Our</w:t>
      </w:r>
      <w:r w:rsidRPr="00563DBC">
        <w:rPr>
          <w:rFonts w:cstheme="minorHAnsi"/>
          <w:spacing w:val="32"/>
        </w:rPr>
        <w:t xml:space="preserve"> </w:t>
      </w:r>
      <w:r w:rsidRPr="00563DBC">
        <w:rPr>
          <w:rFonts w:cstheme="minorHAnsi"/>
        </w:rPr>
        <w:t>research</w:t>
      </w:r>
      <w:r w:rsidRPr="00563DBC">
        <w:rPr>
          <w:rFonts w:cstheme="minorHAnsi"/>
          <w:spacing w:val="34"/>
        </w:rPr>
        <w:t xml:space="preserve"> </w:t>
      </w:r>
      <w:r w:rsidRPr="00563DBC">
        <w:rPr>
          <w:rFonts w:cstheme="minorHAnsi"/>
        </w:rPr>
        <w:t>provides</w:t>
      </w:r>
      <w:r w:rsidRPr="00563DBC">
        <w:rPr>
          <w:rFonts w:cstheme="minorHAnsi"/>
          <w:spacing w:val="34"/>
        </w:rPr>
        <w:t xml:space="preserve"> </w:t>
      </w:r>
      <w:r w:rsidRPr="00563DBC">
        <w:rPr>
          <w:rFonts w:cstheme="minorHAnsi"/>
        </w:rPr>
        <w:t>new</w:t>
      </w:r>
      <w:r w:rsidRPr="00563DBC">
        <w:rPr>
          <w:rFonts w:cstheme="minorHAnsi"/>
          <w:spacing w:val="31"/>
        </w:rPr>
        <w:t xml:space="preserve"> </w:t>
      </w:r>
      <w:r w:rsidRPr="00563DBC">
        <w:rPr>
          <w:rFonts w:cstheme="minorHAnsi"/>
        </w:rPr>
        <w:t>evidence</w:t>
      </w:r>
      <w:r w:rsidRPr="00563DBC">
        <w:rPr>
          <w:rFonts w:cstheme="minorHAnsi"/>
          <w:spacing w:val="33"/>
        </w:rPr>
        <w:t xml:space="preserve"> </w:t>
      </w:r>
      <w:r w:rsidRPr="00563DBC">
        <w:rPr>
          <w:rFonts w:cstheme="minorHAnsi"/>
        </w:rPr>
        <w:t>to</w:t>
      </w:r>
      <w:r w:rsidRPr="00563DBC">
        <w:rPr>
          <w:rFonts w:cstheme="minorHAnsi"/>
          <w:spacing w:val="34"/>
        </w:rPr>
        <w:t xml:space="preserve"> </w:t>
      </w:r>
      <w:r w:rsidRPr="00563DBC">
        <w:rPr>
          <w:rFonts w:cstheme="minorHAnsi"/>
        </w:rPr>
        <w:t>inform</w:t>
      </w:r>
      <w:r w:rsidRPr="00563DBC">
        <w:rPr>
          <w:rFonts w:cstheme="minorHAnsi"/>
          <w:spacing w:val="30"/>
        </w:rPr>
        <w:t xml:space="preserve"> </w:t>
      </w:r>
      <w:r w:rsidRPr="00563DBC">
        <w:rPr>
          <w:rFonts w:cstheme="minorHAnsi"/>
        </w:rPr>
        <w:t>key</w:t>
      </w:r>
      <w:r w:rsidRPr="00563DBC">
        <w:rPr>
          <w:rFonts w:cstheme="minorHAnsi"/>
          <w:spacing w:val="31"/>
        </w:rPr>
        <w:t xml:space="preserve"> </w:t>
      </w:r>
      <w:r w:rsidRPr="00563DBC">
        <w:rPr>
          <w:rFonts w:cstheme="minorHAnsi"/>
        </w:rPr>
        <w:t>challenges</w:t>
      </w:r>
      <w:r w:rsidRPr="00563DBC">
        <w:rPr>
          <w:rFonts w:cstheme="minorHAnsi"/>
          <w:spacing w:val="34"/>
        </w:rPr>
        <w:t xml:space="preserve"> </w:t>
      </w:r>
      <w:r w:rsidRPr="00563DBC">
        <w:rPr>
          <w:rFonts w:cstheme="minorHAnsi"/>
        </w:rPr>
        <w:t>in</w:t>
      </w:r>
      <w:r w:rsidRPr="00563DBC">
        <w:rPr>
          <w:rFonts w:cstheme="minorHAnsi"/>
          <w:spacing w:val="34"/>
        </w:rPr>
        <w:t xml:space="preserve"> </w:t>
      </w:r>
      <w:r w:rsidRPr="00563DBC">
        <w:rPr>
          <w:rFonts w:cstheme="minorHAnsi"/>
        </w:rPr>
        <w:t>primary</w:t>
      </w:r>
      <w:r w:rsidRPr="00563DBC">
        <w:rPr>
          <w:rFonts w:cstheme="minorHAnsi"/>
          <w:spacing w:val="32"/>
        </w:rPr>
        <w:t xml:space="preserve"> </w:t>
      </w:r>
      <w:r w:rsidRPr="00563DBC">
        <w:rPr>
          <w:rFonts w:cstheme="minorHAnsi"/>
        </w:rPr>
        <w:t>care.</w:t>
      </w:r>
      <w:r w:rsidRPr="00563DBC">
        <w:rPr>
          <w:rFonts w:cstheme="minorHAnsi"/>
          <w:spacing w:val="-1"/>
        </w:rPr>
        <w:t xml:space="preserve"> </w:t>
      </w:r>
      <w:r w:rsidR="001056EB" w:rsidRPr="001056EB">
        <w:rPr>
          <w:rFonts w:cstheme="minorHAnsi"/>
        </w:rPr>
        <w:t>We have five broad themes that reflect key areas of interest:</w:t>
      </w:r>
    </w:p>
    <w:p w14:paraId="0B7C30E8" w14:textId="77777777" w:rsidR="001056EB" w:rsidRPr="00DA79D1" w:rsidRDefault="001056EB" w:rsidP="004466B7">
      <w:pPr>
        <w:kinsoku w:val="0"/>
        <w:overflowPunct w:val="0"/>
        <w:autoSpaceDE w:val="0"/>
        <w:autoSpaceDN w:val="0"/>
        <w:adjustRightInd w:val="0"/>
        <w:spacing w:after="120" w:line="320" w:lineRule="atLeast"/>
        <w:rPr>
          <w:rFonts w:cstheme="minorHAnsi"/>
          <w:b/>
          <w:bCs/>
        </w:rPr>
      </w:pPr>
      <w:r w:rsidRPr="00DA79D1">
        <w:rPr>
          <w:rFonts w:cstheme="minorHAnsi"/>
          <w:b/>
          <w:bCs/>
        </w:rPr>
        <w:t xml:space="preserve">Diagnosis and prognosis </w:t>
      </w:r>
    </w:p>
    <w:p w14:paraId="366CF2D9" w14:textId="77777777" w:rsidR="001056EB" w:rsidRPr="001056EB" w:rsidRDefault="001056EB" w:rsidP="004466B7">
      <w:pPr>
        <w:kinsoku w:val="0"/>
        <w:overflowPunct w:val="0"/>
        <w:autoSpaceDE w:val="0"/>
        <w:autoSpaceDN w:val="0"/>
        <w:adjustRightInd w:val="0"/>
        <w:spacing w:after="120" w:line="320" w:lineRule="atLeast"/>
        <w:rPr>
          <w:rFonts w:cstheme="minorHAnsi"/>
        </w:rPr>
      </w:pPr>
      <w:r w:rsidRPr="001056EB">
        <w:rPr>
          <w:rFonts w:cstheme="minorHAnsi"/>
        </w:rPr>
        <w:t xml:space="preserve">Work in this theme includes prospective observational studies, routine data studies, qualitative studies, diagnostic studies and randomised controlled trials that aim to improve the management of infections, asthma and COPD, mental health problems, atrial fibrillation and cancer. </w:t>
      </w:r>
    </w:p>
    <w:p w14:paraId="0061B067" w14:textId="77777777" w:rsidR="001056EB" w:rsidRPr="00DA79D1" w:rsidRDefault="001056EB" w:rsidP="004466B7">
      <w:pPr>
        <w:kinsoku w:val="0"/>
        <w:overflowPunct w:val="0"/>
        <w:autoSpaceDE w:val="0"/>
        <w:autoSpaceDN w:val="0"/>
        <w:adjustRightInd w:val="0"/>
        <w:spacing w:after="120" w:line="320" w:lineRule="atLeast"/>
        <w:rPr>
          <w:rFonts w:cstheme="minorHAnsi"/>
          <w:b/>
          <w:bCs/>
        </w:rPr>
      </w:pPr>
      <w:r w:rsidRPr="00DA79D1">
        <w:rPr>
          <w:rFonts w:cstheme="minorHAnsi"/>
          <w:b/>
          <w:bCs/>
        </w:rPr>
        <w:t xml:space="preserve">Healthcare communication </w:t>
      </w:r>
    </w:p>
    <w:p w14:paraId="3EB914B1" w14:textId="77777777" w:rsidR="001056EB" w:rsidRPr="001056EB" w:rsidRDefault="001056EB" w:rsidP="004466B7">
      <w:pPr>
        <w:kinsoku w:val="0"/>
        <w:overflowPunct w:val="0"/>
        <w:autoSpaceDE w:val="0"/>
        <w:autoSpaceDN w:val="0"/>
        <w:adjustRightInd w:val="0"/>
        <w:spacing w:after="120" w:line="320" w:lineRule="atLeast"/>
        <w:rPr>
          <w:rFonts w:cstheme="minorHAnsi"/>
        </w:rPr>
      </w:pPr>
      <w:r w:rsidRPr="001056EB">
        <w:rPr>
          <w:rFonts w:cstheme="minorHAnsi"/>
        </w:rPr>
        <w:t>Research in this theme aims to improve patient outcomes by optimising healthcare interactions. This includes developing tools to enhance empathy and positive messages, evaluating agenda-setting within consultations and detailed conversation analysis of video- and audio-recorded consultations to improve communication.</w:t>
      </w:r>
    </w:p>
    <w:p w14:paraId="208C6F70" w14:textId="77777777" w:rsidR="001056EB" w:rsidRPr="00DA79D1" w:rsidRDefault="001056EB" w:rsidP="004466B7">
      <w:pPr>
        <w:kinsoku w:val="0"/>
        <w:overflowPunct w:val="0"/>
        <w:autoSpaceDE w:val="0"/>
        <w:autoSpaceDN w:val="0"/>
        <w:adjustRightInd w:val="0"/>
        <w:spacing w:after="120" w:line="320" w:lineRule="atLeast"/>
        <w:rPr>
          <w:rFonts w:cstheme="minorHAnsi"/>
          <w:b/>
          <w:bCs/>
        </w:rPr>
      </w:pPr>
      <w:r w:rsidRPr="00DA79D1">
        <w:rPr>
          <w:rFonts w:cstheme="minorHAnsi"/>
          <w:b/>
          <w:bCs/>
        </w:rPr>
        <w:t xml:space="preserve">Improving use of medicines  </w:t>
      </w:r>
    </w:p>
    <w:p w14:paraId="180B0BB2" w14:textId="5218121C" w:rsidR="001056EB" w:rsidRPr="001056EB" w:rsidRDefault="001056EB" w:rsidP="004466B7">
      <w:pPr>
        <w:kinsoku w:val="0"/>
        <w:overflowPunct w:val="0"/>
        <w:autoSpaceDE w:val="0"/>
        <w:autoSpaceDN w:val="0"/>
        <w:adjustRightInd w:val="0"/>
        <w:spacing w:after="120" w:line="320" w:lineRule="atLeast"/>
        <w:rPr>
          <w:rFonts w:cstheme="minorHAnsi"/>
        </w:rPr>
      </w:pPr>
      <w:r w:rsidRPr="001056EB">
        <w:rPr>
          <w:rFonts w:cstheme="minorHAnsi"/>
        </w:rPr>
        <w:t xml:space="preserve">Research in this area includes providing evidence on the safe and effective use of conventional and alternative medicines for common conditions managed in primary care. Research methods include database and observational studies describing medicine use and associated outcomes, qualitative studies of patient and prescriber perspectives, and trials evaluating effectiveness of medicines and optimal use including deprescribing where appropriate. A key focus has been tackling the major public health threat of antibiotic resistance by providing evidence to support the better use of antibiotics and alternative treatments for infections. </w:t>
      </w:r>
    </w:p>
    <w:p w14:paraId="119DC963" w14:textId="77777777" w:rsidR="001056EB" w:rsidRPr="00DA79D1" w:rsidRDefault="001056EB" w:rsidP="004466B7">
      <w:pPr>
        <w:kinsoku w:val="0"/>
        <w:overflowPunct w:val="0"/>
        <w:autoSpaceDE w:val="0"/>
        <w:autoSpaceDN w:val="0"/>
        <w:adjustRightInd w:val="0"/>
        <w:spacing w:after="120" w:line="320" w:lineRule="atLeast"/>
        <w:rPr>
          <w:rFonts w:cstheme="minorHAnsi"/>
          <w:b/>
          <w:bCs/>
        </w:rPr>
      </w:pPr>
      <w:r w:rsidRPr="00DA79D1">
        <w:rPr>
          <w:rFonts w:cstheme="minorHAnsi"/>
          <w:b/>
          <w:bCs/>
        </w:rPr>
        <w:t xml:space="preserve">Supporting self-management </w:t>
      </w:r>
    </w:p>
    <w:p w14:paraId="52A86323" w14:textId="335C4FE0" w:rsidR="001056EB" w:rsidRPr="001056EB" w:rsidRDefault="001056EB" w:rsidP="004466B7">
      <w:pPr>
        <w:kinsoku w:val="0"/>
        <w:overflowPunct w:val="0"/>
        <w:autoSpaceDE w:val="0"/>
        <w:autoSpaceDN w:val="0"/>
        <w:adjustRightInd w:val="0"/>
        <w:spacing w:after="120" w:line="320" w:lineRule="atLeast"/>
        <w:rPr>
          <w:rFonts w:cstheme="minorHAnsi"/>
        </w:rPr>
      </w:pPr>
      <w:r w:rsidRPr="001056EB">
        <w:rPr>
          <w:rFonts w:cstheme="minorHAnsi"/>
        </w:rPr>
        <w:t xml:space="preserve">Research in this theme addresses the NHS Long Term Plan’s commitment to improving supported self-management. Studies in this area cover a range of content areas, developing and testing interventions addressing: lifestyle, mental health, emotional distress, cancer-related distress and cancer survivorship, low back pain, dizziness, asthma, COPD, respiratory infection, IBS, eczema, </w:t>
      </w:r>
      <w:r w:rsidR="0077611A">
        <w:rPr>
          <w:rFonts w:cstheme="minorHAnsi"/>
        </w:rPr>
        <w:t xml:space="preserve">acne, </w:t>
      </w:r>
      <w:r w:rsidRPr="001056EB">
        <w:rPr>
          <w:rFonts w:cstheme="minorHAnsi"/>
        </w:rPr>
        <w:t xml:space="preserve">hypertension, and weight management. It builds on our close links with Psychology and international reputation for developing and evaluating digital interventions.  </w:t>
      </w:r>
    </w:p>
    <w:p w14:paraId="3651F815" w14:textId="77777777" w:rsidR="001056EB" w:rsidRPr="00DA79D1" w:rsidRDefault="001056EB" w:rsidP="004466B7">
      <w:pPr>
        <w:kinsoku w:val="0"/>
        <w:overflowPunct w:val="0"/>
        <w:autoSpaceDE w:val="0"/>
        <w:autoSpaceDN w:val="0"/>
        <w:adjustRightInd w:val="0"/>
        <w:spacing w:after="120" w:line="320" w:lineRule="atLeast"/>
        <w:rPr>
          <w:rFonts w:cstheme="minorHAnsi"/>
          <w:b/>
          <w:bCs/>
        </w:rPr>
      </w:pPr>
      <w:r w:rsidRPr="00DA79D1">
        <w:rPr>
          <w:rFonts w:cstheme="minorHAnsi"/>
          <w:b/>
          <w:bCs/>
        </w:rPr>
        <w:t>Data Science</w:t>
      </w:r>
    </w:p>
    <w:p w14:paraId="65DB745D" w14:textId="09D00C9F" w:rsidR="001056EB" w:rsidRPr="001056EB" w:rsidRDefault="001056EB" w:rsidP="004466B7">
      <w:pPr>
        <w:kinsoku w:val="0"/>
        <w:overflowPunct w:val="0"/>
        <w:autoSpaceDE w:val="0"/>
        <w:autoSpaceDN w:val="0"/>
        <w:adjustRightInd w:val="0"/>
        <w:spacing w:after="120" w:line="320" w:lineRule="atLeast"/>
        <w:rPr>
          <w:rFonts w:cstheme="minorHAnsi"/>
        </w:rPr>
      </w:pPr>
      <w:r w:rsidRPr="001056EB">
        <w:rPr>
          <w:rFonts w:cstheme="minorHAnsi"/>
        </w:rPr>
        <w:t>Our Data Science Group research uses large volumes of complex, heterogeneous, multi-dimensional and often unstructured dataset</w:t>
      </w:r>
      <w:r w:rsidR="00670866">
        <w:rPr>
          <w:rFonts w:cstheme="minorHAnsi"/>
        </w:rPr>
        <w:t>s</w:t>
      </w:r>
      <w:r w:rsidRPr="001056EB">
        <w:rPr>
          <w:rFonts w:cstheme="minorHAnsi"/>
        </w:rPr>
        <w:t xml:space="preserve"> from different sources</w:t>
      </w:r>
      <w:r w:rsidR="004466B7">
        <w:rPr>
          <w:rFonts w:cstheme="minorHAnsi"/>
        </w:rPr>
        <w:t>, aiming</w:t>
      </w:r>
      <w:r w:rsidRPr="001056EB">
        <w:rPr>
          <w:rFonts w:cstheme="minorHAnsi"/>
        </w:rPr>
        <w:t xml:space="preserve"> to understand patterns, trends, and associations of diseases to inform preventive action.</w:t>
      </w:r>
    </w:p>
    <w:sectPr w:rsidR="001056EB" w:rsidRPr="001056EB" w:rsidSect="00644A95">
      <w:headerReference w:type="default" r:id="rId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311B" w14:textId="77777777" w:rsidR="009E0B9C" w:rsidRDefault="009E0B9C" w:rsidP="009D6FFC">
      <w:pPr>
        <w:spacing w:after="0" w:line="240" w:lineRule="auto"/>
      </w:pPr>
      <w:r>
        <w:separator/>
      </w:r>
    </w:p>
  </w:endnote>
  <w:endnote w:type="continuationSeparator" w:id="0">
    <w:p w14:paraId="4D22EDF8" w14:textId="77777777" w:rsidR="009E0B9C" w:rsidRDefault="009E0B9C" w:rsidP="009D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1FFA" w14:textId="77777777" w:rsidR="009E0B9C" w:rsidRDefault="009E0B9C" w:rsidP="009D6FFC">
      <w:pPr>
        <w:spacing w:after="0" w:line="240" w:lineRule="auto"/>
      </w:pPr>
      <w:r>
        <w:separator/>
      </w:r>
    </w:p>
  </w:footnote>
  <w:footnote w:type="continuationSeparator" w:id="0">
    <w:p w14:paraId="46215B30" w14:textId="77777777" w:rsidR="009E0B9C" w:rsidRDefault="009E0B9C" w:rsidP="009D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6715" w14:textId="5A3FD6C6" w:rsidR="009D6FFC" w:rsidRDefault="009D6FFC">
    <w:pPr>
      <w:pStyle w:val="Header"/>
    </w:pPr>
  </w:p>
  <w:p w14:paraId="04714BFA" w14:textId="7F8B8CCF" w:rsidR="009D6FFC" w:rsidRDefault="009D6FF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0B75" w14:textId="44F401C7" w:rsidR="007F22F2" w:rsidRDefault="007F2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6" w:hanging="356"/>
      </w:pPr>
      <w:rPr>
        <w:rFonts w:ascii="Symbol" w:hAnsi="Symbol" w:cs="Symbol"/>
        <w:b w:val="0"/>
        <w:bCs w:val="0"/>
        <w:w w:val="100"/>
        <w:sz w:val="22"/>
        <w:szCs w:val="22"/>
      </w:rPr>
    </w:lvl>
    <w:lvl w:ilvl="1">
      <w:numFmt w:val="bullet"/>
      <w:lvlText w:val="•"/>
      <w:lvlJc w:val="left"/>
      <w:pPr>
        <w:ind w:left="1658" w:hanging="356"/>
      </w:pPr>
    </w:lvl>
    <w:lvl w:ilvl="2">
      <w:numFmt w:val="bullet"/>
      <w:lvlText w:val="•"/>
      <w:lvlJc w:val="left"/>
      <w:pPr>
        <w:ind w:left="2497" w:hanging="356"/>
      </w:pPr>
    </w:lvl>
    <w:lvl w:ilvl="3">
      <w:numFmt w:val="bullet"/>
      <w:lvlText w:val="•"/>
      <w:lvlJc w:val="left"/>
      <w:pPr>
        <w:ind w:left="3335" w:hanging="356"/>
      </w:pPr>
    </w:lvl>
    <w:lvl w:ilvl="4">
      <w:numFmt w:val="bullet"/>
      <w:lvlText w:val="•"/>
      <w:lvlJc w:val="left"/>
      <w:pPr>
        <w:ind w:left="4174" w:hanging="356"/>
      </w:pPr>
    </w:lvl>
    <w:lvl w:ilvl="5">
      <w:numFmt w:val="bullet"/>
      <w:lvlText w:val="•"/>
      <w:lvlJc w:val="left"/>
      <w:pPr>
        <w:ind w:left="5013" w:hanging="356"/>
      </w:pPr>
    </w:lvl>
    <w:lvl w:ilvl="6">
      <w:numFmt w:val="bullet"/>
      <w:lvlText w:val="•"/>
      <w:lvlJc w:val="left"/>
      <w:pPr>
        <w:ind w:left="5851" w:hanging="356"/>
      </w:pPr>
    </w:lvl>
    <w:lvl w:ilvl="7">
      <w:numFmt w:val="bullet"/>
      <w:lvlText w:val="•"/>
      <w:lvlJc w:val="left"/>
      <w:pPr>
        <w:ind w:left="6690" w:hanging="356"/>
      </w:pPr>
    </w:lvl>
    <w:lvl w:ilvl="8">
      <w:numFmt w:val="bullet"/>
      <w:lvlText w:val="•"/>
      <w:lvlJc w:val="left"/>
      <w:pPr>
        <w:ind w:left="7529" w:hanging="356"/>
      </w:pPr>
    </w:lvl>
  </w:abstractNum>
  <w:abstractNum w:abstractNumId="1" w15:restartNumberingAfterBreak="0">
    <w:nsid w:val="1FFF36B6"/>
    <w:multiLevelType w:val="hybridMultilevel"/>
    <w:tmpl w:val="E5161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35001F"/>
    <w:multiLevelType w:val="hybridMultilevel"/>
    <w:tmpl w:val="9E4AF4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DC51F9"/>
    <w:multiLevelType w:val="hybridMultilevel"/>
    <w:tmpl w:val="197C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C081A"/>
    <w:multiLevelType w:val="hybridMultilevel"/>
    <w:tmpl w:val="F09AE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E417E9"/>
    <w:multiLevelType w:val="hybridMultilevel"/>
    <w:tmpl w:val="13A85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81371">
    <w:abstractNumId w:val="4"/>
  </w:num>
  <w:num w:numId="2" w16cid:durableId="394279383">
    <w:abstractNumId w:val="5"/>
  </w:num>
  <w:num w:numId="3" w16cid:durableId="734281645">
    <w:abstractNumId w:val="1"/>
  </w:num>
  <w:num w:numId="4" w16cid:durableId="491799909">
    <w:abstractNumId w:val="2"/>
  </w:num>
  <w:num w:numId="5" w16cid:durableId="1590041447">
    <w:abstractNumId w:val="0"/>
  </w:num>
  <w:num w:numId="6" w16cid:durableId="165644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09"/>
    <w:rsid w:val="0000172E"/>
    <w:rsid w:val="00003A92"/>
    <w:rsid w:val="00041620"/>
    <w:rsid w:val="0008478B"/>
    <w:rsid w:val="00093AB4"/>
    <w:rsid w:val="000970D0"/>
    <w:rsid w:val="000D7CE3"/>
    <w:rsid w:val="001056EB"/>
    <w:rsid w:val="00110480"/>
    <w:rsid w:val="00156B50"/>
    <w:rsid w:val="00177285"/>
    <w:rsid w:val="001833E8"/>
    <w:rsid w:val="00184AE2"/>
    <w:rsid w:val="00184F15"/>
    <w:rsid w:val="001C5012"/>
    <w:rsid w:val="001F2DAE"/>
    <w:rsid w:val="00220892"/>
    <w:rsid w:val="002A78C2"/>
    <w:rsid w:val="002C304A"/>
    <w:rsid w:val="002F721B"/>
    <w:rsid w:val="00335DBF"/>
    <w:rsid w:val="003E63C8"/>
    <w:rsid w:val="00425ED5"/>
    <w:rsid w:val="00441774"/>
    <w:rsid w:val="00443BC3"/>
    <w:rsid w:val="004466B7"/>
    <w:rsid w:val="00452386"/>
    <w:rsid w:val="00457BAF"/>
    <w:rsid w:val="0046202C"/>
    <w:rsid w:val="00462A2B"/>
    <w:rsid w:val="00482EA9"/>
    <w:rsid w:val="004A5609"/>
    <w:rsid w:val="004B0DE2"/>
    <w:rsid w:val="004C5608"/>
    <w:rsid w:val="004E4945"/>
    <w:rsid w:val="00520814"/>
    <w:rsid w:val="00526398"/>
    <w:rsid w:val="005A75CB"/>
    <w:rsid w:val="005C2325"/>
    <w:rsid w:val="005C69DA"/>
    <w:rsid w:val="005E5CD9"/>
    <w:rsid w:val="005F6561"/>
    <w:rsid w:val="006006C9"/>
    <w:rsid w:val="00610D37"/>
    <w:rsid w:val="00626D56"/>
    <w:rsid w:val="00644A95"/>
    <w:rsid w:val="00670866"/>
    <w:rsid w:val="00694F31"/>
    <w:rsid w:val="006F0758"/>
    <w:rsid w:val="00711CCF"/>
    <w:rsid w:val="00714713"/>
    <w:rsid w:val="00720E57"/>
    <w:rsid w:val="00733B86"/>
    <w:rsid w:val="00753CC0"/>
    <w:rsid w:val="0077611A"/>
    <w:rsid w:val="007776F4"/>
    <w:rsid w:val="007A14A3"/>
    <w:rsid w:val="007A219A"/>
    <w:rsid w:val="007D0168"/>
    <w:rsid w:val="007E4780"/>
    <w:rsid w:val="007F22F2"/>
    <w:rsid w:val="0081103D"/>
    <w:rsid w:val="008147ED"/>
    <w:rsid w:val="0082283C"/>
    <w:rsid w:val="00847AC9"/>
    <w:rsid w:val="008D3073"/>
    <w:rsid w:val="008D7C56"/>
    <w:rsid w:val="00935C48"/>
    <w:rsid w:val="00952746"/>
    <w:rsid w:val="00972276"/>
    <w:rsid w:val="009C5463"/>
    <w:rsid w:val="009D6FFC"/>
    <w:rsid w:val="009E0B9C"/>
    <w:rsid w:val="009F2CF2"/>
    <w:rsid w:val="00A100AA"/>
    <w:rsid w:val="00A31899"/>
    <w:rsid w:val="00A55E4C"/>
    <w:rsid w:val="00A73D8E"/>
    <w:rsid w:val="00AC6E16"/>
    <w:rsid w:val="00AE0E95"/>
    <w:rsid w:val="00B07998"/>
    <w:rsid w:val="00B271FE"/>
    <w:rsid w:val="00B472FD"/>
    <w:rsid w:val="00B93E05"/>
    <w:rsid w:val="00BA6601"/>
    <w:rsid w:val="00BE1FEB"/>
    <w:rsid w:val="00BF7876"/>
    <w:rsid w:val="00C06176"/>
    <w:rsid w:val="00C21034"/>
    <w:rsid w:val="00C87A8C"/>
    <w:rsid w:val="00CA154A"/>
    <w:rsid w:val="00D1014F"/>
    <w:rsid w:val="00D220EC"/>
    <w:rsid w:val="00D27831"/>
    <w:rsid w:val="00D52A5B"/>
    <w:rsid w:val="00DA79D1"/>
    <w:rsid w:val="00E0268B"/>
    <w:rsid w:val="00E260F1"/>
    <w:rsid w:val="00E40165"/>
    <w:rsid w:val="00E4741A"/>
    <w:rsid w:val="00E70186"/>
    <w:rsid w:val="00E7532D"/>
    <w:rsid w:val="00E83927"/>
    <w:rsid w:val="00E97E24"/>
    <w:rsid w:val="00EA4344"/>
    <w:rsid w:val="00EC635A"/>
    <w:rsid w:val="00ED78A9"/>
    <w:rsid w:val="00F06669"/>
    <w:rsid w:val="00F17A2E"/>
    <w:rsid w:val="00F35855"/>
    <w:rsid w:val="00F933B1"/>
    <w:rsid w:val="00FD21C2"/>
    <w:rsid w:val="00FE1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069A9"/>
  <w15:chartTrackingRefBased/>
  <w15:docId w15:val="{E3910EBD-CB05-48FA-A2CB-9C415AF8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D6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6FF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D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FFC"/>
  </w:style>
  <w:style w:type="paragraph" w:styleId="Footer">
    <w:name w:val="footer"/>
    <w:basedOn w:val="Normal"/>
    <w:link w:val="FooterChar"/>
    <w:uiPriority w:val="99"/>
    <w:unhideWhenUsed/>
    <w:rsid w:val="009D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FFC"/>
  </w:style>
  <w:style w:type="character" w:styleId="Hyperlink">
    <w:name w:val="Hyperlink"/>
    <w:basedOn w:val="DefaultParagraphFont"/>
    <w:unhideWhenUsed/>
    <w:rsid w:val="00452386"/>
    <w:rPr>
      <w:color w:val="0563C1" w:themeColor="hyperlink"/>
      <w:u w:val="single"/>
    </w:rPr>
  </w:style>
  <w:style w:type="table" w:styleId="TableGrid">
    <w:name w:val="Table Grid"/>
    <w:basedOn w:val="TableNormal"/>
    <w:uiPriority w:val="39"/>
    <w:rsid w:val="0045238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52386"/>
    <w:pPr>
      <w:ind w:left="720"/>
      <w:contextualSpacing/>
    </w:pPr>
    <w:rPr>
      <w:rFonts w:eastAsiaTheme="minorEastAsia"/>
      <w:lang w:eastAsia="zh-CN"/>
    </w:rPr>
  </w:style>
  <w:style w:type="paragraph" w:styleId="BodyText">
    <w:name w:val="Body Text"/>
    <w:basedOn w:val="Normal"/>
    <w:link w:val="BodyTextChar"/>
    <w:uiPriority w:val="1"/>
    <w:qFormat/>
    <w:rsid w:val="00452386"/>
    <w:pPr>
      <w:autoSpaceDE w:val="0"/>
      <w:autoSpaceDN w:val="0"/>
      <w:adjustRightInd w:val="0"/>
      <w:spacing w:after="0" w:line="240" w:lineRule="auto"/>
      <w:ind w:left="112"/>
    </w:pPr>
    <w:rPr>
      <w:rFonts w:ascii="Arial" w:hAnsi="Arial" w:cs="Arial"/>
    </w:rPr>
  </w:style>
  <w:style w:type="character" w:customStyle="1" w:styleId="BodyTextChar">
    <w:name w:val="Body Text Char"/>
    <w:basedOn w:val="DefaultParagraphFont"/>
    <w:link w:val="BodyText"/>
    <w:uiPriority w:val="1"/>
    <w:rsid w:val="00452386"/>
    <w:rPr>
      <w:rFonts w:ascii="Arial" w:hAnsi="Arial" w:cs="Arial"/>
    </w:rPr>
  </w:style>
  <w:style w:type="paragraph" w:customStyle="1" w:styleId="TableParagraph">
    <w:name w:val="Table Paragraph"/>
    <w:basedOn w:val="Normal"/>
    <w:uiPriority w:val="1"/>
    <w:qFormat/>
    <w:rsid w:val="00452386"/>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45238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C2325"/>
    <w:rPr>
      <w:color w:val="605E5C"/>
      <w:shd w:val="clear" w:color="auto" w:fill="E1DFDD"/>
    </w:rPr>
  </w:style>
  <w:style w:type="paragraph" w:styleId="Revision">
    <w:name w:val="Revision"/>
    <w:hidden/>
    <w:uiPriority w:val="99"/>
    <w:semiHidden/>
    <w:rsid w:val="00220892"/>
    <w:pPr>
      <w:spacing w:after="0" w:line="240" w:lineRule="auto"/>
    </w:pPr>
  </w:style>
  <w:style w:type="character" w:styleId="UnresolvedMention">
    <w:name w:val="Unresolved Mention"/>
    <w:basedOn w:val="DefaultParagraphFont"/>
    <w:uiPriority w:val="99"/>
    <w:semiHidden/>
    <w:unhideWhenUsed/>
    <w:rsid w:val="00526398"/>
    <w:rPr>
      <w:color w:val="605E5C"/>
      <w:shd w:val="clear" w:color="auto" w:fill="E1DFDD"/>
    </w:rPr>
  </w:style>
  <w:style w:type="character" w:styleId="FollowedHyperlink">
    <w:name w:val="FollowedHyperlink"/>
    <w:basedOn w:val="DefaultParagraphFont"/>
    <w:uiPriority w:val="99"/>
    <w:semiHidden/>
    <w:unhideWhenUsed/>
    <w:rsid w:val="001833E8"/>
    <w:rPr>
      <w:color w:val="954F72" w:themeColor="followedHyperlink"/>
      <w:u w:val="single"/>
    </w:rPr>
  </w:style>
  <w:style w:type="character" w:customStyle="1" w:styleId="normaltextrun">
    <w:name w:val="normaltextrun"/>
    <w:basedOn w:val="DefaultParagraphFont"/>
    <w:rsid w:val="004B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788">
      <w:bodyDiv w:val="1"/>
      <w:marLeft w:val="0"/>
      <w:marRight w:val="0"/>
      <w:marTop w:val="0"/>
      <w:marBottom w:val="0"/>
      <w:divBdr>
        <w:top w:val="none" w:sz="0" w:space="0" w:color="auto"/>
        <w:left w:val="none" w:sz="0" w:space="0" w:color="auto"/>
        <w:bottom w:val="none" w:sz="0" w:space="0" w:color="auto"/>
        <w:right w:val="none" w:sz="0" w:space="0" w:color="auto"/>
      </w:divBdr>
    </w:div>
    <w:div w:id="706098938">
      <w:bodyDiv w:val="1"/>
      <w:marLeft w:val="0"/>
      <w:marRight w:val="0"/>
      <w:marTop w:val="0"/>
      <w:marBottom w:val="0"/>
      <w:divBdr>
        <w:top w:val="none" w:sz="0" w:space="0" w:color="auto"/>
        <w:left w:val="none" w:sz="0" w:space="0" w:color="auto"/>
        <w:bottom w:val="none" w:sz="0" w:space="0" w:color="auto"/>
        <w:right w:val="none" w:sz="0" w:space="0" w:color="auto"/>
      </w:divBdr>
    </w:div>
    <w:div w:id="8583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kelly@soton.ac.uk" TargetMode="External"/><Relationship Id="rId18" Type="http://schemas.openxmlformats.org/officeDocument/2006/relationships/hyperlink" Target="mailto:m.lown@soton.ac.uk" TargetMode="External"/><Relationship Id="rId26" Type="http://schemas.openxmlformats.org/officeDocument/2006/relationships/hyperlink" Target="mailto:L.Morrison@soton.ac.uk" TargetMode="External"/><Relationship Id="rId3" Type="http://schemas.openxmlformats.org/officeDocument/2006/relationships/customXml" Target="../customXml/item3.xml"/><Relationship Id="rId21" Type="http://schemas.openxmlformats.org/officeDocument/2006/relationships/hyperlink" Target="https://www.southampton.ac.uk/research/projects/the-bactoblisr-study-a-feasibility-study-assessing-compliance-acceptability" TargetMode="External"/><Relationship Id="rId7" Type="http://schemas.openxmlformats.org/officeDocument/2006/relationships/webSettings" Target="webSettings.xml"/><Relationship Id="rId12" Type="http://schemas.openxmlformats.org/officeDocument/2006/relationships/hyperlink" Target="mailto:m.santer@soton.ac.uk" TargetMode="External"/><Relationship Id="rId17" Type="http://schemas.openxmlformats.org/officeDocument/2006/relationships/hyperlink" Target="https://www.southampton.ac.uk/primarycare/phasedin.page" TargetMode="External"/><Relationship Id="rId25" Type="http://schemas.openxmlformats.org/officeDocument/2006/relationships/hyperlink" Target="mailto:h.dambha-miller@soton.ac.uk" TargetMode="External"/><Relationship Id="rId2" Type="http://schemas.openxmlformats.org/officeDocument/2006/relationships/customXml" Target="../customXml/item2.xml"/><Relationship Id="rId16" Type="http://schemas.openxmlformats.org/officeDocument/2006/relationships/hyperlink" Target="mailto:m.lown@soton.ac.uk" TargetMode="External"/><Relationship Id="rId20" Type="http://schemas.openxmlformats.org/officeDocument/2006/relationships/hyperlink" Target="mailto:M.L.Willcox@soton.ac.uk" TargetMode="External"/><Relationship Id="rId29" Type="http://schemas.openxmlformats.org/officeDocument/2006/relationships/hyperlink" Target="mailto:h.atherton@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kay.wang@soton.ac.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uthampton.ac.uk/research/institutes-centres/primary-care" TargetMode="External"/><Relationship Id="rId23" Type="http://schemas.openxmlformats.org/officeDocument/2006/relationships/hyperlink" Target="mailto:M.Santer@soton.ac.uk" TargetMode="External"/><Relationship Id="rId28" Type="http://schemas.openxmlformats.org/officeDocument/2006/relationships/hyperlink" Target="mailto:a.c.rowsell@soton.ac.uk" TargetMode="External"/><Relationship Id="rId10" Type="http://schemas.openxmlformats.org/officeDocument/2006/relationships/image" Target="media/image1.emf"/><Relationship Id="rId19" Type="http://schemas.openxmlformats.org/officeDocument/2006/relationships/hyperlink" Target="mailto:M.L.Willcox@soton.ac.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M.Santer@soton.ac.uk" TargetMode="External"/><Relationship Id="rId27" Type="http://schemas.openxmlformats.org/officeDocument/2006/relationships/hyperlink" Target="mailto:K.Greenwell@soton.ac.uk"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ee1942-ea12-4fa1-a398-6f32807963aa">
      <Terms xmlns="http://schemas.microsoft.com/office/infopath/2007/PartnerControls"/>
    </lcf76f155ced4ddcb4097134ff3c332f>
    <TaxCatchAll xmlns="2a5e5d02-b389-48c3-b86b-d2fef2170d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4794AD48FCB46A5B5219F82B448C8" ma:contentTypeVersion="20" ma:contentTypeDescription="Create a new document." ma:contentTypeScope="" ma:versionID="c783fd401c8fa02ccb79d98f110c1a44">
  <xsd:schema xmlns:xsd="http://www.w3.org/2001/XMLSchema" xmlns:xs="http://www.w3.org/2001/XMLSchema" xmlns:p="http://schemas.microsoft.com/office/2006/metadata/properties" xmlns:ns1="http://schemas.microsoft.com/sharepoint/v3" xmlns:ns2="deee1942-ea12-4fa1-a398-6f32807963aa" xmlns:ns3="2a5e5d02-b389-48c3-b86b-d2fef2170d1a" targetNamespace="http://schemas.microsoft.com/office/2006/metadata/properties" ma:root="true" ma:fieldsID="bee196edd4117e7abcf578e3b91be758" ns1:_="" ns2:_="" ns3:_="">
    <xsd:import namespace="http://schemas.microsoft.com/sharepoint/v3"/>
    <xsd:import namespace="deee1942-ea12-4fa1-a398-6f32807963aa"/>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e1942-ea12-4fa1-a398-6f3280796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d031e8-e8fc-4cc2-8879-bfab80ab3442}" ma:internalName="TaxCatchAll" ma:showField="CatchAllData" ma:web="2a5e5d02-b389-48c3-b86b-d2fef217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5F1D4-79DB-4722-81F0-6BF7082445E6}">
  <ds:schemaRefs>
    <ds:schemaRef ds:uri="http://schemas.microsoft.com/office/2006/metadata/properties"/>
    <ds:schemaRef ds:uri="http://schemas.microsoft.com/office/infopath/2007/PartnerControls"/>
    <ds:schemaRef ds:uri="http://schemas.microsoft.com/sharepoint/v3"/>
    <ds:schemaRef ds:uri="deee1942-ea12-4fa1-a398-6f32807963aa"/>
    <ds:schemaRef ds:uri="2a5e5d02-b389-48c3-b86b-d2fef2170d1a"/>
  </ds:schemaRefs>
</ds:datastoreItem>
</file>

<file path=customXml/itemProps2.xml><?xml version="1.0" encoding="utf-8"?>
<ds:datastoreItem xmlns:ds="http://schemas.openxmlformats.org/officeDocument/2006/customXml" ds:itemID="{150ED4EC-8ED6-4D0C-BEE7-8ECE2F0B5D0D}">
  <ds:schemaRefs>
    <ds:schemaRef ds:uri="http://schemas.microsoft.com/sharepoint/v3/contenttype/forms"/>
  </ds:schemaRefs>
</ds:datastoreItem>
</file>

<file path=customXml/itemProps3.xml><?xml version="1.0" encoding="utf-8"?>
<ds:datastoreItem xmlns:ds="http://schemas.openxmlformats.org/officeDocument/2006/customXml" ds:itemID="{D344A8D8-5EC4-459C-B348-7089D183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e1942-ea12-4fa1-a398-6f32807963aa"/>
    <ds:schemaRef ds:uri="2a5e5d02-b389-48c3-b86b-d2fef2170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Santer</dc:creator>
  <cp:keywords/>
  <dc:description/>
  <cp:lastModifiedBy>Jane Cousins</cp:lastModifiedBy>
  <cp:revision>3</cp:revision>
  <dcterms:created xsi:type="dcterms:W3CDTF">2024-07-08T08:23:00Z</dcterms:created>
  <dcterms:modified xsi:type="dcterms:W3CDTF">2024-07-08T08:25:00Z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0x01010037F4794AD48FCB46A5B5219F82B448C8</vt:lpwstr>
  </property>
  <property fmtid="{D5CDD505-2E9C-101B-9397-08002B2CF9AE}" pid="3" name="MediaServiceImageTags">
    <vt:lpwstr/>
  </property>
</Properties>
</file>